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69"/>
        <w:gridCol w:w="5873"/>
      </w:tblGrid>
      <w:tr w:rsidR="00155973" w:rsidTr="00463DE3">
        <w:tc>
          <w:tcPr>
            <w:tcW w:w="3369" w:type="dxa"/>
          </w:tcPr>
          <w:p w:rsidR="00155973" w:rsidRPr="00A82CC1" w:rsidRDefault="00155973" w:rsidP="00034C04">
            <w:pPr>
              <w:rPr>
                <w:b/>
              </w:rPr>
            </w:pPr>
            <w:bookmarkStart w:id="0" w:name="_GoBack"/>
            <w:bookmarkEnd w:id="0"/>
            <w:r w:rsidRPr="00A82CC1">
              <w:rPr>
                <w:b/>
              </w:rPr>
              <w:t xml:space="preserve">Partnership Name </w:t>
            </w:r>
          </w:p>
        </w:tc>
        <w:tc>
          <w:tcPr>
            <w:tcW w:w="5873" w:type="dxa"/>
          </w:tcPr>
          <w:p w:rsidR="00155973" w:rsidRPr="00A63A5C" w:rsidRDefault="00E04F64" w:rsidP="00034C04">
            <w:pPr>
              <w:rPr>
                <w:b/>
              </w:rPr>
            </w:pPr>
            <w:r>
              <w:rPr>
                <w:b/>
              </w:rPr>
              <w:t>Oxfordshire Local Enterprise Partnership</w:t>
            </w:r>
          </w:p>
        </w:tc>
      </w:tr>
      <w:tr w:rsidR="00155973" w:rsidTr="00463DE3">
        <w:trPr>
          <w:trHeight w:val="217"/>
        </w:trPr>
        <w:tc>
          <w:tcPr>
            <w:tcW w:w="3369" w:type="dxa"/>
          </w:tcPr>
          <w:p w:rsidR="00155973" w:rsidRPr="00A82CC1" w:rsidRDefault="00155973" w:rsidP="00034C04">
            <w:pPr>
              <w:rPr>
                <w:b/>
              </w:rPr>
            </w:pPr>
            <w:r w:rsidRPr="00A82CC1">
              <w:rPr>
                <w:b/>
              </w:rPr>
              <w:t xml:space="preserve">Date of completion </w:t>
            </w:r>
          </w:p>
        </w:tc>
        <w:tc>
          <w:tcPr>
            <w:tcW w:w="5873" w:type="dxa"/>
          </w:tcPr>
          <w:p w:rsidR="00155973" w:rsidRPr="008F6FDA" w:rsidRDefault="00E04F64" w:rsidP="00EE38F7">
            <w:r w:rsidRPr="008F6FDA">
              <w:t>1</w:t>
            </w:r>
            <w:r w:rsidR="00EE38F7" w:rsidRPr="00EE38F7">
              <w:rPr>
                <w:vertAlign w:val="superscript"/>
              </w:rPr>
              <w:t>st</w:t>
            </w:r>
            <w:r w:rsidR="00EE38F7">
              <w:t xml:space="preserve"> </w:t>
            </w:r>
            <w:r w:rsidRPr="008F6FDA">
              <w:t>August 2014</w:t>
            </w:r>
            <w:r w:rsidR="00212523">
              <w:t xml:space="preserve"> </w:t>
            </w:r>
            <w:r w:rsidR="00212523" w:rsidRPr="00212523">
              <w:rPr>
                <w:i/>
                <w:sz w:val="20"/>
                <w:szCs w:val="20"/>
              </w:rPr>
              <w:t>- (updated 17</w:t>
            </w:r>
            <w:r w:rsidR="00212523" w:rsidRPr="00212523">
              <w:rPr>
                <w:i/>
                <w:sz w:val="20"/>
                <w:szCs w:val="20"/>
                <w:vertAlign w:val="superscript"/>
              </w:rPr>
              <w:t>th</w:t>
            </w:r>
            <w:r w:rsidR="00212523" w:rsidRPr="00212523">
              <w:rPr>
                <w:i/>
                <w:sz w:val="20"/>
                <w:szCs w:val="20"/>
              </w:rPr>
              <w:t xml:space="preserve"> September 2014)</w:t>
            </w:r>
          </w:p>
        </w:tc>
      </w:tr>
      <w:tr w:rsidR="00155973" w:rsidTr="00463DE3">
        <w:tc>
          <w:tcPr>
            <w:tcW w:w="3369" w:type="dxa"/>
          </w:tcPr>
          <w:p w:rsidR="00155973" w:rsidRPr="00A82CC1" w:rsidRDefault="00155973" w:rsidP="00034C04">
            <w:pPr>
              <w:rPr>
                <w:b/>
              </w:rPr>
            </w:pPr>
            <w:r w:rsidRPr="00A82CC1">
              <w:rPr>
                <w:b/>
              </w:rPr>
              <w:t xml:space="preserve">Chairman </w:t>
            </w:r>
          </w:p>
        </w:tc>
        <w:tc>
          <w:tcPr>
            <w:tcW w:w="5873" w:type="dxa"/>
          </w:tcPr>
          <w:p w:rsidR="00155973" w:rsidRPr="008F6FDA" w:rsidRDefault="00E04F64" w:rsidP="00034C04">
            <w:r w:rsidRPr="008F6FDA">
              <w:t>Adrian Shooter</w:t>
            </w:r>
          </w:p>
        </w:tc>
      </w:tr>
      <w:tr w:rsidR="009003B6" w:rsidTr="00463DE3">
        <w:tc>
          <w:tcPr>
            <w:tcW w:w="3369" w:type="dxa"/>
          </w:tcPr>
          <w:p w:rsidR="009003B6" w:rsidRDefault="009003B6" w:rsidP="00FC1524">
            <w:pPr>
              <w:rPr>
                <w:b/>
              </w:rPr>
            </w:pPr>
            <w:r>
              <w:rPr>
                <w:b/>
              </w:rPr>
              <w:t>OCC Lead Member</w:t>
            </w:r>
          </w:p>
        </w:tc>
        <w:tc>
          <w:tcPr>
            <w:tcW w:w="5873" w:type="dxa"/>
          </w:tcPr>
          <w:p w:rsidR="009003B6" w:rsidRPr="00FD3E19" w:rsidRDefault="00E04F64" w:rsidP="00FC1524">
            <w:r w:rsidRPr="00FD3E19">
              <w:t xml:space="preserve">Cllr </w:t>
            </w:r>
            <w:r w:rsidR="00E66AAC" w:rsidRPr="00FD3E19">
              <w:t xml:space="preserve">Ian </w:t>
            </w:r>
            <w:r w:rsidRPr="00FD3E19">
              <w:t>Hudspeth</w:t>
            </w:r>
          </w:p>
        </w:tc>
      </w:tr>
      <w:tr w:rsidR="009003B6" w:rsidTr="00463DE3">
        <w:tc>
          <w:tcPr>
            <w:tcW w:w="3369" w:type="dxa"/>
          </w:tcPr>
          <w:p w:rsidR="009003B6" w:rsidRPr="00B9555A" w:rsidRDefault="009003B6" w:rsidP="00FC1524">
            <w:pPr>
              <w:rPr>
                <w:b/>
              </w:rPr>
            </w:pPr>
            <w:r>
              <w:rPr>
                <w:b/>
              </w:rPr>
              <w:t>OCC Lead Officer</w:t>
            </w:r>
          </w:p>
        </w:tc>
        <w:tc>
          <w:tcPr>
            <w:tcW w:w="5873" w:type="dxa"/>
          </w:tcPr>
          <w:p w:rsidR="009003B6" w:rsidRPr="00FD3E19" w:rsidRDefault="00E04F64" w:rsidP="00FC1524">
            <w:r w:rsidRPr="00FD3E19">
              <w:t>Sue Scane</w:t>
            </w:r>
          </w:p>
        </w:tc>
      </w:tr>
      <w:tr w:rsidR="00B9555A" w:rsidTr="00463DE3">
        <w:tc>
          <w:tcPr>
            <w:tcW w:w="3369" w:type="dxa"/>
          </w:tcPr>
          <w:p w:rsidR="00B9555A" w:rsidRPr="00B9555A" w:rsidRDefault="00B9555A" w:rsidP="00FC1524">
            <w:pPr>
              <w:rPr>
                <w:b/>
              </w:rPr>
            </w:pPr>
            <w:r w:rsidRPr="00B9555A">
              <w:rPr>
                <w:b/>
              </w:rPr>
              <w:t>Last Meeting Date</w:t>
            </w:r>
          </w:p>
        </w:tc>
        <w:tc>
          <w:tcPr>
            <w:tcW w:w="5873" w:type="dxa"/>
          </w:tcPr>
          <w:p w:rsidR="00B9555A" w:rsidRPr="00FD3E19" w:rsidRDefault="00212523" w:rsidP="00EE38F7">
            <w:r w:rsidRPr="00FD3E19">
              <w:t>2</w:t>
            </w:r>
            <w:r w:rsidR="00EE38F7" w:rsidRPr="00EE38F7">
              <w:rPr>
                <w:vertAlign w:val="superscript"/>
              </w:rPr>
              <w:t>nd</w:t>
            </w:r>
            <w:r w:rsidR="00EE38F7">
              <w:t xml:space="preserve"> </w:t>
            </w:r>
            <w:r w:rsidRPr="00FD3E19">
              <w:t>September</w:t>
            </w:r>
            <w:r>
              <w:t xml:space="preserve"> 2014</w:t>
            </w:r>
          </w:p>
        </w:tc>
      </w:tr>
      <w:tr w:rsidR="00B9555A" w:rsidTr="00463DE3">
        <w:tc>
          <w:tcPr>
            <w:tcW w:w="3369" w:type="dxa"/>
          </w:tcPr>
          <w:p w:rsidR="00B9555A" w:rsidRPr="00B9555A" w:rsidRDefault="00B9555A" w:rsidP="00FC1524">
            <w:pPr>
              <w:rPr>
                <w:b/>
              </w:rPr>
            </w:pPr>
            <w:r w:rsidRPr="00B9555A">
              <w:rPr>
                <w:b/>
              </w:rPr>
              <w:t>Next Meeting Date</w:t>
            </w:r>
          </w:p>
        </w:tc>
        <w:tc>
          <w:tcPr>
            <w:tcW w:w="5873" w:type="dxa"/>
          </w:tcPr>
          <w:p w:rsidR="00B9555A" w:rsidRPr="00FD3E19" w:rsidRDefault="00212523" w:rsidP="00FC1524">
            <w:r>
              <w:t>7</w:t>
            </w:r>
            <w:r w:rsidRPr="00212523">
              <w:rPr>
                <w:vertAlign w:val="superscript"/>
              </w:rPr>
              <w:t>th</w:t>
            </w:r>
            <w:r>
              <w:t xml:space="preserve"> October 2014</w:t>
            </w:r>
          </w:p>
        </w:tc>
      </w:tr>
      <w:tr w:rsidR="00B9555A" w:rsidTr="00463DE3">
        <w:tc>
          <w:tcPr>
            <w:tcW w:w="3369" w:type="dxa"/>
          </w:tcPr>
          <w:p w:rsidR="00B9555A" w:rsidRPr="00B9555A" w:rsidRDefault="00B9555A" w:rsidP="00FC1524">
            <w:pPr>
              <w:rPr>
                <w:b/>
              </w:rPr>
            </w:pPr>
            <w:r w:rsidRPr="00B9555A">
              <w:rPr>
                <w:b/>
              </w:rPr>
              <w:t>Website</w:t>
            </w:r>
            <w:r w:rsidR="0046065C">
              <w:rPr>
                <w:b/>
              </w:rPr>
              <w:t xml:space="preserve"> Address</w:t>
            </w:r>
          </w:p>
        </w:tc>
        <w:tc>
          <w:tcPr>
            <w:tcW w:w="5873" w:type="dxa"/>
          </w:tcPr>
          <w:p w:rsidR="00B9555A" w:rsidRPr="00FD3E19" w:rsidRDefault="00493322" w:rsidP="00FC1524">
            <w:hyperlink r:id="rId9" w:history="1">
              <w:r w:rsidR="00E04F64" w:rsidRPr="00FD3E19">
                <w:rPr>
                  <w:rStyle w:val="Hyperlink"/>
                </w:rPr>
                <w:t>http://www.oxfordshirelep.org.uk</w:t>
              </w:r>
            </w:hyperlink>
          </w:p>
        </w:tc>
      </w:tr>
      <w:tr w:rsidR="00463DE3" w:rsidTr="00463DE3">
        <w:tc>
          <w:tcPr>
            <w:tcW w:w="3369" w:type="dxa"/>
          </w:tcPr>
          <w:p w:rsidR="00463DE3" w:rsidRPr="00B9555A" w:rsidRDefault="00463DE3" w:rsidP="00FC1524">
            <w:pPr>
              <w:rPr>
                <w:b/>
              </w:rPr>
            </w:pPr>
            <w:r>
              <w:rPr>
                <w:b/>
              </w:rPr>
              <w:t>Governance Arrangements</w:t>
            </w:r>
          </w:p>
        </w:tc>
        <w:tc>
          <w:tcPr>
            <w:tcW w:w="5873" w:type="dxa"/>
          </w:tcPr>
          <w:p w:rsidR="00463DE3" w:rsidRPr="00FD3E19" w:rsidRDefault="00E04F64" w:rsidP="00FC1524">
            <w:r w:rsidRPr="00FD3E19">
              <w:t>Incorporated cross sector board</w:t>
            </w:r>
          </w:p>
        </w:tc>
      </w:tr>
      <w:tr w:rsidR="00155973" w:rsidTr="00034C04">
        <w:tc>
          <w:tcPr>
            <w:tcW w:w="9242" w:type="dxa"/>
            <w:gridSpan w:val="2"/>
          </w:tcPr>
          <w:p w:rsidR="00155973" w:rsidRPr="00765F88" w:rsidRDefault="00765F88" w:rsidP="00765F88">
            <w:pPr>
              <w:rPr>
                <w:b/>
              </w:rPr>
            </w:pPr>
            <w:r w:rsidRPr="00765F88">
              <w:rPr>
                <w:b/>
              </w:rPr>
              <w:t>The current focus for the Partnership</w:t>
            </w:r>
          </w:p>
        </w:tc>
      </w:tr>
      <w:tr w:rsidR="00155973" w:rsidTr="00034C04">
        <w:tc>
          <w:tcPr>
            <w:tcW w:w="9242" w:type="dxa"/>
            <w:gridSpan w:val="2"/>
          </w:tcPr>
          <w:p w:rsidR="0090533C" w:rsidRDefault="0090533C" w:rsidP="00034C04"/>
          <w:p w:rsidR="008F6FDA" w:rsidRPr="00FD3E19" w:rsidRDefault="008F6FDA" w:rsidP="00FD3E19">
            <w:pPr>
              <w:pStyle w:val="NoSpacing"/>
            </w:pPr>
            <w:r w:rsidRPr="00FD3E19">
              <w:rPr>
                <w:lang w:eastAsia="en-GB"/>
              </w:rPr>
              <w:t>The Oxfordshire Local Enterprise Partnership (LEP) is responsible for championing and developing the Oxfordshire economy. Working with businesses, academia and the public sector the Oxfordshire LEP is driving economic development across the county. The Vision for Oxfordshire is that by 2030 Oxfordshire will be a vibrant sustainable inclusive world leading economy, driven by innovation, enterprise and research excellence.</w:t>
            </w:r>
          </w:p>
          <w:p w:rsidR="008F6FDA" w:rsidRDefault="008F6FDA" w:rsidP="00034C04"/>
          <w:p w:rsidR="00E04F64" w:rsidRDefault="008F6FDA" w:rsidP="005125CF">
            <w:pPr>
              <w:pStyle w:val="NoSpacing"/>
            </w:pPr>
            <w:r w:rsidRPr="00FD3E19">
              <w:t>The current focus for the</w:t>
            </w:r>
            <w:r>
              <w:t xml:space="preserve"> LEP</w:t>
            </w:r>
            <w:r w:rsidRPr="008F6FDA">
              <w:t xml:space="preserve"> is to</w:t>
            </w:r>
            <w:r w:rsidR="00E04F64">
              <w:t xml:space="preserve"> oversee and drive the delivery of;</w:t>
            </w:r>
          </w:p>
          <w:p w:rsidR="00E04F64" w:rsidRDefault="00E04F64" w:rsidP="005125CF">
            <w:pPr>
              <w:pStyle w:val="NoSpacing"/>
            </w:pPr>
          </w:p>
          <w:p w:rsidR="00E04F64" w:rsidRDefault="00E04F64" w:rsidP="0017097D">
            <w:pPr>
              <w:pStyle w:val="NoSpacing"/>
              <w:numPr>
                <w:ilvl w:val="0"/>
                <w:numId w:val="2"/>
              </w:numPr>
            </w:pPr>
            <w:r>
              <w:t>City Deal – c£55.5m of government investment across</w:t>
            </w:r>
            <w:r w:rsidR="0071003E">
              <w:t xml:space="preserve"> transport, innovation, skills and business support</w:t>
            </w:r>
          </w:p>
          <w:p w:rsidR="005125CF" w:rsidRDefault="005125CF" w:rsidP="005125CF">
            <w:pPr>
              <w:pStyle w:val="NoSpacing"/>
              <w:ind w:left="1080"/>
            </w:pPr>
          </w:p>
          <w:p w:rsidR="0071003E" w:rsidRDefault="0071003E" w:rsidP="0017097D">
            <w:pPr>
              <w:pStyle w:val="NoSpacing"/>
              <w:numPr>
                <w:ilvl w:val="0"/>
                <w:numId w:val="2"/>
              </w:numPr>
            </w:pPr>
            <w:r>
              <w:t>Local Growth Fund</w:t>
            </w:r>
            <w:r w:rsidR="005125CF">
              <w:t xml:space="preserve"> (LGF)</w:t>
            </w:r>
            <w:r>
              <w:t xml:space="preserve"> – c£109m (to 2020) of government investment across Oxfordshire</w:t>
            </w:r>
            <w:r w:rsidR="005125CF">
              <w:t xml:space="preserve">’s four </w:t>
            </w:r>
            <w:r>
              <w:t>themes of:</w:t>
            </w:r>
          </w:p>
          <w:p w:rsidR="0071003E" w:rsidRPr="0071003E" w:rsidRDefault="00E04F64" w:rsidP="00FD3E19">
            <w:pPr>
              <w:pStyle w:val="NoSpacing"/>
              <w:numPr>
                <w:ilvl w:val="0"/>
                <w:numId w:val="43"/>
              </w:numPr>
              <w:rPr>
                <w:b/>
                <w:i/>
                <w:lang w:eastAsia="en-GB"/>
              </w:rPr>
            </w:pPr>
            <w:r w:rsidRPr="0071003E">
              <w:rPr>
                <w:b/>
                <w:i/>
                <w:lang w:eastAsia="en-GB"/>
              </w:rPr>
              <w:t>Innovative Enterprise</w:t>
            </w:r>
          </w:p>
          <w:p w:rsidR="00E04F64" w:rsidRPr="0071003E" w:rsidRDefault="00E04F64" w:rsidP="00FD3E19">
            <w:pPr>
              <w:pStyle w:val="NoSpacing"/>
              <w:ind w:left="1440"/>
              <w:rPr>
                <w:lang w:eastAsia="en-GB"/>
              </w:rPr>
            </w:pPr>
            <w:r w:rsidRPr="0071003E">
              <w:rPr>
                <w:lang w:eastAsia="en-GB"/>
              </w:rPr>
              <w:t>Encourage innovation led growth, underpinned by Oxfordshire’s strengths in University research and development, business collaboration and supply chain potential.</w:t>
            </w:r>
          </w:p>
          <w:p w:rsidR="00E04F64" w:rsidRPr="0071003E" w:rsidRDefault="00E04F64" w:rsidP="00FD3E19">
            <w:pPr>
              <w:pStyle w:val="NoSpacing"/>
              <w:numPr>
                <w:ilvl w:val="0"/>
                <w:numId w:val="43"/>
              </w:numPr>
              <w:rPr>
                <w:b/>
                <w:i/>
                <w:lang w:eastAsia="en-GB"/>
              </w:rPr>
            </w:pPr>
            <w:r w:rsidRPr="0071003E">
              <w:rPr>
                <w:b/>
                <w:i/>
                <w:lang w:eastAsia="en-GB"/>
              </w:rPr>
              <w:t>Innovative People</w:t>
            </w:r>
          </w:p>
          <w:p w:rsidR="00E04F64" w:rsidRPr="0071003E" w:rsidRDefault="00E04F64" w:rsidP="00FD3E19">
            <w:pPr>
              <w:pStyle w:val="NoSpacing"/>
              <w:ind w:left="1440"/>
              <w:rPr>
                <w:lang w:eastAsia="en-GB"/>
              </w:rPr>
            </w:pPr>
            <w:r w:rsidRPr="0071003E">
              <w:rPr>
                <w:lang w:eastAsia="en-GB"/>
              </w:rPr>
              <w:t>Deliver and attract specialist and flexible skills at all levels, across all sectors, as required by our businesses, with full, inclusive employment and fulfilling jobs.</w:t>
            </w:r>
          </w:p>
          <w:p w:rsidR="00E04F64" w:rsidRPr="0071003E" w:rsidRDefault="00E04F64" w:rsidP="00FD3E19">
            <w:pPr>
              <w:pStyle w:val="NoSpacing"/>
              <w:numPr>
                <w:ilvl w:val="0"/>
                <w:numId w:val="43"/>
              </w:numPr>
              <w:rPr>
                <w:b/>
                <w:i/>
                <w:lang w:eastAsia="en-GB"/>
              </w:rPr>
            </w:pPr>
            <w:r w:rsidRPr="0071003E">
              <w:rPr>
                <w:b/>
                <w:i/>
                <w:lang w:eastAsia="en-GB"/>
              </w:rPr>
              <w:t>Innovative Place</w:t>
            </w:r>
          </w:p>
          <w:p w:rsidR="00E04F64" w:rsidRPr="0071003E" w:rsidRDefault="00E04F64" w:rsidP="00FD3E19">
            <w:pPr>
              <w:pStyle w:val="NoSpacing"/>
              <w:ind w:left="1440"/>
              <w:rPr>
                <w:lang w:eastAsia="en-GB"/>
              </w:rPr>
            </w:pPr>
            <w:r w:rsidRPr="0071003E">
              <w:rPr>
                <w:lang w:eastAsia="en-GB"/>
              </w:rPr>
              <w:t>Provide the quality environment and choice of homes needed to support growth whilst capitalising upon the exceptional quality of life, vibrant economy and the dynamic urban and rural communities of our county.</w:t>
            </w:r>
          </w:p>
          <w:p w:rsidR="0071003E" w:rsidRPr="0071003E" w:rsidRDefault="0071003E" w:rsidP="00FD3E19">
            <w:pPr>
              <w:pStyle w:val="NoSpacing"/>
              <w:numPr>
                <w:ilvl w:val="0"/>
                <w:numId w:val="43"/>
              </w:numPr>
              <w:rPr>
                <w:b/>
                <w:i/>
              </w:rPr>
            </w:pPr>
            <w:r w:rsidRPr="0071003E">
              <w:rPr>
                <w:b/>
                <w:i/>
              </w:rPr>
              <w:t>Innovative Connectivity</w:t>
            </w:r>
          </w:p>
          <w:p w:rsidR="0071003E" w:rsidRDefault="0071003E" w:rsidP="00FD3E19">
            <w:pPr>
              <w:pStyle w:val="NoSpacing"/>
              <w:ind w:left="1440"/>
            </w:pPr>
            <w:r w:rsidRPr="0071003E">
              <w:t>Allow people to move freely, connect easily and provide the services, environment and facilities needed by a dynamic, growing and dispersed economy</w:t>
            </w:r>
          </w:p>
          <w:p w:rsidR="005125CF" w:rsidRDefault="005125CF" w:rsidP="005125CF">
            <w:pPr>
              <w:pStyle w:val="NoSpacing"/>
            </w:pPr>
          </w:p>
          <w:p w:rsidR="005125CF" w:rsidRPr="005125CF" w:rsidRDefault="0071003E" w:rsidP="0017097D">
            <w:pPr>
              <w:pStyle w:val="NoSpacing"/>
              <w:numPr>
                <w:ilvl w:val="0"/>
                <w:numId w:val="2"/>
              </w:numPr>
            </w:pPr>
            <w:r>
              <w:t xml:space="preserve">European Structural Investment Funds (ESIF) strategy – and establish the EU </w:t>
            </w:r>
            <w:r w:rsidR="001409C7">
              <w:t>Compliant</w:t>
            </w:r>
            <w:r w:rsidR="00085526">
              <w:t xml:space="preserve"> in</w:t>
            </w:r>
            <w:r>
              <w:t>frastructure through which Oxfordshire’s c£20m</w:t>
            </w:r>
            <w:r w:rsidR="008F6FDA">
              <w:t>illion</w:t>
            </w:r>
            <w:r>
              <w:t xml:space="preserve"> ESIF funding will be </w:t>
            </w:r>
            <w:r w:rsidRPr="005125CF">
              <w:t xml:space="preserve">allocated. </w:t>
            </w:r>
            <w:r w:rsidR="005125CF" w:rsidRPr="005125CF">
              <w:t>Our proposals can be most easily understood as being organised around two headline programmes:</w:t>
            </w:r>
          </w:p>
          <w:p w:rsidR="005125CF" w:rsidRPr="005125CF" w:rsidRDefault="005125CF" w:rsidP="0017097D">
            <w:pPr>
              <w:pStyle w:val="NoSpacing"/>
              <w:numPr>
                <w:ilvl w:val="0"/>
                <w:numId w:val="1"/>
              </w:numPr>
            </w:pPr>
            <w:r w:rsidRPr="005125CF">
              <w:t xml:space="preserve">£14.77m (+ match) </w:t>
            </w:r>
            <w:r w:rsidRPr="005125CF">
              <w:rPr>
                <w:b/>
              </w:rPr>
              <w:t>Business Support Programme</w:t>
            </w:r>
            <w:r w:rsidRPr="005125CF">
              <w:t xml:space="preserve">, to provide an integrated and coherent package of support to business across </w:t>
            </w:r>
            <w:r w:rsidRPr="005125CF">
              <w:lastRenderedPageBreak/>
              <w:t>Oxfordshire to deliver growth through innovation, and  the</w:t>
            </w:r>
          </w:p>
          <w:p w:rsidR="005125CF" w:rsidRDefault="005125CF" w:rsidP="0017097D">
            <w:pPr>
              <w:pStyle w:val="NoSpacing"/>
              <w:numPr>
                <w:ilvl w:val="0"/>
                <w:numId w:val="1"/>
              </w:numPr>
            </w:pPr>
            <w:r w:rsidRPr="005125CF">
              <w:t>£4.73m</w:t>
            </w:r>
            <w:r w:rsidR="008F6FDA">
              <w:t>illion</w:t>
            </w:r>
            <w:r w:rsidRPr="005125CF">
              <w:rPr>
                <w:b/>
              </w:rPr>
              <w:t xml:space="preserve"> Labour Market and Community Development Programme</w:t>
            </w:r>
            <w:r w:rsidRPr="005125CF">
              <w:t>, to deliver a series of measures across the county to help our people enter and thrive in the local labour market, and to help local people and communities tackle some of their key economic, environmental and social challenges.</w:t>
            </w:r>
          </w:p>
          <w:p w:rsidR="005125CF" w:rsidRDefault="005125CF" w:rsidP="005125CF">
            <w:pPr>
              <w:pStyle w:val="NoSpacing"/>
              <w:ind w:left="720"/>
            </w:pPr>
          </w:p>
          <w:p w:rsidR="005125CF" w:rsidRPr="005125CF" w:rsidRDefault="00885024" w:rsidP="0017097D">
            <w:pPr>
              <w:pStyle w:val="NoSpacing"/>
              <w:numPr>
                <w:ilvl w:val="0"/>
                <w:numId w:val="2"/>
              </w:numPr>
            </w:pPr>
            <w:r>
              <w:t>Growing Places Fund – to oversee delivery of the c£9m loan fund that supports business growth</w:t>
            </w:r>
          </w:p>
          <w:p w:rsidR="00692154" w:rsidRDefault="00692154" w:rsidP="005125CF">
            <w:pPr>
              <w:pStyle w:val="NoSpacing"/>
            </w:pPr>
          </w:p>
          <w:p w:rsidR="00155973" w:rsidRPr="00FC1524" w:rsidRDefault="005125CF" w:rsidP="00FC1524">
            <w:pPr>
              <w:pStyle w:val="ListParagraph"/>
              <w:numPr>
                <w:ilvl w:val="0"/>
                <w:numId w:val="2"/>
              </w:numPr>
              <w:rPr>
                <w:rFonts w:eastAsia="Times New Roman"/>
                <w:lang w:eastAsia="en-GB"/>
              </w:rPr>
            </w:pPr>
            <w:r>
              <w:t>To further develop the pipeline of project proposals to be negotiated in the 16/17 LGF settlement</w:t>
            </w:r>
          </w:p>
          <w:p w:rsidR="00FC1524" w:rsidRPr="00EF33D3" w:rsidRDefault="00FC1524" w:rsidP="00FC1524">
            <w:pPr>
              <w:pStyle w:val="ListParagraph"/>
              <w:ind w:left="1080"/>
              <w:rPr>
                <w:rFonts w:eastAsia="Times New Roman"/>
                <w:lang w:eastAsia="en-GB"/>
              </w:rPr>
            </w:pPr>
          </w:p>
        </w:tc>
      </w:tr>
      <w:tr w:rsidR="00155973" w:rsidTr="009003B6">
        <w:trPr>
          <w:trHeight w:val="293"/>
        </w:trPr>
        <w:tc>
          <w:tcPr>
            <w:tcW w:w="9242" w:type="dxa"/>
            <w:gridSpan w:val="2"/>
          </w:tcPr>
          <w:p w:rsidR="00155973" w:rsidRPr="00765F88" w:rsidRDefault="00765F88" w:rsidP="00765F88">
            <w:pPr>
              <w:rPr>
                <w:b/>
              </w:rPr>
            </w:pPr>
            <w:r w:rsidRPr="00765F88">
              <w:rPr>
                <w:b/>
              </w:rPr>
              <w:lastRenderedPageBreak/>
              <w:t>The Partnership’s key achievements in the last year</w:t>
            </w:r>
          </w:p>
        </w:tc>
      </w:tr>
      <w:tr w:rsidR="00155973" w:rsidTr="00034C04">
        <w:tc>
          <w:tcPr>
            <w:tcW w:w="9242" w:type="dxa"/>
            <w:gridSpan w:val="2"/>
          </w:tcPr>
          <w:p w:rsidR="00885024" w:rsidRDefault="00885024" w:rsidP="00692154"/>
          <w:p w:rsidR="00885024" w:rsidRDefault="00FC1524" w:rsidP="00FD3E19">
            <w:pPr>
              <w:pStyle w:val="ListParagraph"/>
              <w:numPr>
                <w:ilvl w:val="0"/>
                <w:numId w:val="44"/>
              </w:numPr>
              <w:ind w:left="360"/>
            </w:pPr>
            <w:r>
              <w:t>S</w:t>
            </w:r>
            <w:r w:rsidR="00885024">
              <w:t>uccessfully negotiated the £55.5m City Deal investment into Oxfordshire signed in January</w:t>
            </w:r>
          </w:p>
          <w:p w:rsidR="00885024" w:rsidRDefault="00885024"/>
          <w:p w:rsidR="00885024" w:rsidRDefault="00FC1524" w:rsidP="00FD3E19">
            <w:pPr>
              <w:pStyle w:val="ListParagraph"/>
              <w:numPr>
                <w:ilvl w:val="0"/>
                <w:numId w:val="44"/>
              </w:numPr>
              <w:ind w:left="360"/>
            </w:pPr>
            <w:r>
              <w:t>D</w:t>
            </w:r>
            <w:r w:rsidR="00885024">
              <w:t>eveloped the Strategic Economic Plan and project pipeline that underpinned governments c£109m investment into Oxfordshire agreed in July</w:t>
            </w:r>
          </w:p>
          <w:p w:rsidR="00885024" w:rsidRDefault="00885024"/>
          <w:p w:rsidR="00885024" w:rsidRDefault="00FC1524" w:rsidP="00FD3E19">
            <w:pPr>
              <w:pStyle w:val="ListParagraph"/>
              <w:numPr>
                <w:ilvl w:val="0"/>
                <w:numId w:val="44"/>
              </w:numPr>
              <w:ind w:left="360"/>
            </w:pPr>
            <w:r>
              <w:t>D</w:t>
            </w:r>
            <w:r w:rsidR="00885024">
              <w:t>eveloped the E</w:t>
            </w:r>
            <w:r w:rsidR="008F6FDA">
              <w:t xml:space="preserve">uropean </w:t>
            </w:r>
            <w:r w:rsidR="00885024">
              <w:t>S</w:t>
            </w:r>
            <w:r w:rsidR="008F6FDA">
              <w:t xml:space="preserve">tructural </w:t>
            </w:r>
            <w:r w:rsidR="00885024">
              <w:t>I</w:t>
            </w:r>
            <w:r w:rsidR="008F6FDA">
              <w:t xml:space="preserve">nvestment </w:t>
            </w:r>
            <w:r w:rsidR="00885024">
              <w:t>F</w:t>
            </w:r>
            <w:r w:rsidR="008F6FDA">
              <w:t>unds</w:t>
            </w:r>
            <w:r w:rsidR="00885024">
              <w:t xml:space="preserve"> strategy setting out the priority areas for the allocation of Oxfordshire’s c£20m allocation</w:t>
            </w:r>
            <w:r w:rsidR="00D51B15">
              <w:t xml:space="preserve"> (to 2020) with funding projected to be available from January 2015</w:t>
            </w:r>
          </w:p>
          <w:p w:rsidR="00885024" w:rsidRDefault="00885024"/>
          <w:p w:rsidR="00885024" w:rsidRDefault="00FC1524" w:rsidP="00FD3E19">
            <w:pPr>
              <w:pStyle w:val="ListParagraph"/>
              <w:numPr>
                <w:ilvl w:val="0"/>
                <w:numId w:val="44"/>
              </w:numPr>
              <w:ind w:left="360"/>
            </w:pPr>
            <w:r>
              <w:t>C</w:t>
            </w:r>
            <w:r w:rsidR="00A11B59">
              <w:t xml:space="preserve">hampioned in Whitehall Oxfordshire’s  ‘Innovation led growth’ message that underpinned the c£185m investment listed above </w:t>
            </w:r>
          </w:p>
          <w:p w:rsidR="00D51B15" w:rsidRDefault="00D51B15"/>
          <w:p w:rsidR="00D51B15" w:rsidRDefault="00FC1524" w:rsidP="00FD3E19">
            <w:pPr>
              <w:pStyle w:val="ListParagraph"/>
              <w:numPr>
                <w:ilvl w:val="0"/>
                <w:numId w:val="44"/>
              </w:numPr>
              <w:ind w:left="360"/>
            </w:pPr>
            <w:r>
              <w:t>Im</w:t>
            </w:r>
            <w:r w:rsidR="00D51B15">
              <w:t xml:space="preserve">plemented a revised LEP board structure that </w:t>
            </w:r>
            <w:r w:rsidR="00753C5A">
              <w:t xml:space="preserve">is </w:t>
            </w:r>
            <w:r w:rsidR="00D51B15">
              <w:t>no</w:t>
            </w:r>
            <w:r w:rsidR="00753C5A">
              <w:t>w fully inclusive of</w:t>
            </w:r>
            <w:r w:rsidR="00D51B15">
              <w:t xml:space="preserve"> all </w:t>
            </w:r>
            <w:r w:rsidR="00753C5A">
              <w:t xml:space="preserve">of </w:t>
            </w:r>
            <w:r w:rsidR="00D51B15">
              <w:t>Oxfordshire</w:t>
            </w:r>
            <w:r w:rsidR="00753C5A">
              <w:t>’s local authority</w:t>
            </w:r>
            <w:r w:rsidR="00D51B15">
              <w:t xml:space="preserve"> leaders</w:t>
            </w:r>
          </w:p>
          <w:p w:rsidR="00D51B15" w:rsidRDefault="00D51B15"/>
          <w:p w:rsidR="00D51B15" w:rsidRDefault="00FC1524" w:rsidP="00FD3E19">
            <w:pPr>
              <w:pStyle w:val="ListParagraph"/>
              <w:numPr>
                <w:ilvl w:val="0"/>
                <w:numId w:val="44"/>
              </w:numPr>
              <w:ind w:left="360"/>
            </w:pPr>
            <w:r>
              <w:t>C</w:t>
            </w:r>
            <w:r w:rsidR="00D51B15">
              <w:t xml:space="preserve">ontributed to the development of the emerging ‘Growth Board’ governance structure charged with overseeing City Deal and LGF delivery </w:t>
            </w:r>
          </w:p>
          <w:p w:rsidR="00D51B15" w:rsidRDefault="00D51B15"/>
          <w:p w:rsidR="00D51B15" w:rsidRDefault="00FC1524" w:rsidP="00FD3E19">
            <w:pPr>
              <w:pStyle w:val="ListParagraph"/>
              <w:numPr>
                <w:ilvl w:val="0"/>
                <w:numId w:val="44"/>
              </w:numPr>
              <w:ind w:left="360"/>
            </w:pPr>
            <w:r>
              <w:t>D</w:t>
            </w:r>
            <w:r w:rsidR="00D51B15">
              <w:t xml:space="preserve">eveloped a collaborative </w:t>
            </w:r>
            <w:r w:rsidR="00E66AAC">
              <w:t>understanding of and approach to Oxfordshire’s growth ambi</w:t>
            </w:r>
            <w:r w:rsidR="00753C5A">
              <w:t>tion across various stakeholder groups</w:t>
            </w:r>
            <w:r w:rsidR="00E66AAC">
              <w:t xml:space="preserve"> and communities of interest</w:t>
            </w:r>
            <w:r w:rsidR="00D51B15">
              <w:t xml:space="preserve"> </w:t>
            </w:r>
          </w:p>
          <w:p w:rsidR="00885024" w:rsidRDefault="00885024"/>
          <w:p w:rsidR="00885024" w:rsidRDefault="00FC1524" w:rsidP="00FD3E19">
            <w:pPr>
              <w:pStyle w:val="ListParagraph"/>
              <w:numPr>
                <w:ilvl w:val="0"/>
                <w:numId w:val="44"/>
              </w:numPr>
              <w:ind w:left="360"/>
            </w:pPr>
            <w:r>
              <w:t>I</w:t>
            </w:r>
            <w:r w:rsidR="00885024">
              <w:t>ncreased capacity within</w:t>
            </w:r>
            <w:r w:rsidR="00E66AAC">
              <w:t xml:space="preserve"> the LEP team through recruitment supported by </w:t>
            </w:r>
            <w:r w:rsidR="00885024">
              <w:t>secondments from partners</w:t>
            </w:r>
          </w:p>
          <w:p w:rsidR="00692154" w:rsidRDefault="00692154" w:rsidP="00692154"/>
          <w:p w:rsidR="00155973" w:rsidRDefault="00155973" w:rsidP="009003B6"/>
        </w:tc>
      </w:tr>
      <w:tr w:rsidR="00155973" w:rsidTr="00034C04">
        <w:tc>
          <w:tcPr>
            <w:tcW w:w="9242" w:type="dxa"/>
            <w:gridSpan w:val="2"/>
          </w:tcPr>
          <w:p w:rsidR="00155973" w:rsidRPr="004B3CEE" w:rsidRDefault="00E2298C" w:rsidP="00034C04">
            <w:pPr>
              <w:rPr>
                <w:b/>
                <w:highlight w:val="yellow"/>
              </w:rPr>
            </w:pPr>
            <w:r w:rsidRPr="00E2298C">
              <w:rPr>
                <w:b/>
              </w:rPr>
              <w:t>The aims for the Partnership in the year ahead</w:t>
            </w:r>
          </w:p>
        </w:tc>
      </w:tr>
      <w:tr w:rsidR="00155973" w:rsidTr="00034C04">
        <w:tc>
          <w:tcPr>
            <w:tcW w:w="9242" w:type="dxa"/>
            <w:gridSpan w:val="2"/>
          </w:tcPr>
          <w:p w:rsidR="00A05779" w:rsidRDefault="00A05779" w:rsidP="00A05779"/>
          <w:p w:rsidR="00692154" w:rsidRDefault="00E66AAC" w:rsidP="00FD3E19">
            <w:pPr>
              <w:pStyle w:val="ListParagraph"/>
              <w:numPr>
                <w:ilvl w:val="0"/>
                <w:numId w:val="45"/>
              </w:numPr>
              <w:ind w:left="360"/>
            </w:pPr>
            <w:r>
              <w:t xml:space="preserve">To continue to drive delivery across the various funding channels  described </w:t>
            </w:r>
            <w:r w:rsidR="008F6FDA">
              <w:t>above</w:t>
            </w:r>
          </w:p>
          <w:p w:rsidR="00E66AAC" w:rsidRDefault="00E66AAC"/>
          <w:p w:rsidR="00E66AAC" w:rsidRDefault="00E66AAC" w:rsidP="00FD3E19">
            <w:pPr>
              <w:pStyle w:val="ListParagraph"/>
              <w:numPr>
                <w:ilvl w:val="0"/>
                <w:numId w:val="45"/>
              </w:numPr>
              <w:ind w:left="360"/>
            </w:pPr>
            <w:r>
              <w:t>To further develop the strategic project pipeline to maximise funding opportunities as they arise, including future L</w:t>
            </w:r>
            <w:r w:rsidR="008F6FDA">
              <w:t xml:space="preserve">ocal </w:t>
            </w:r>
            <w:r>
              <w:t>G</w:t>
            </w:r>
            <w:r w:rsidR="008F6FDA">
              <w:t xml:space="preserve">rowth </w:t>
            </w:r>
            <w:r>
              <w:t>F</w:t>
            </w:r>
            <w:r w:rsidR="008F6FDA">
              <w:t xml:space="preserve">und </w:t>
            </w:r>
            <w:r>
              <w:t xml:space="preserve"> rounds</w:t>
            </w:r>
          </w:p>
          <w:p w:rsidR="00E66AAC" w:rsidRDefault="00E66AAC"/>
          <w:p w:rsidR="00E66AAC" w:rsidRDefault="00E66AAC" w:rsidP="00FD3E19">
            <w:pPr>
              <w:pStyle w:val="ListParagraph"/>
              <w:numPr>
                <w:ilvl w:val="0"/>
                <w:numId w:val="45"/>
              </w:numPr>
              <w:ind w:left="360"/>
            </w:pPr>
            <w:r>
              <w:t>To maximise investment into Science Vale Oxford Enterprise Zone thus maximising business rate income that can be recycled to support growth</w:t>
            </w:r>
          </w:p>
          <w:p w:rsidR="00692154" w:rsidRDefault="00692154"/>
          <w:p w:rsidR="00692154" w:rsidRDefault="00E66AAC" w:rsidP="00FD3E19">
            <w:pPr>
              <w:pStyle w:val="ListParagraph"/>
              <w:numPr>
                <w:ilvl w:val="0"/>
                <w:numId w:val="45"/>
              </w:numPr>
              <w:ind w:left="360"/>
            </w:pPr>
            <w:r>
              <w:t>To continue to explore the optimum mechanisms for better aligning resources that support growth</w:t>
            </w:r>
          </w:p>
          <w:p w:rsidR="00155973" w:rsidRDefault="00155973" w:rsidP="00692154">
            <w:pPr>
              <w:pStyle w:val="ListParagraph"/>
            </w:pPr>
          </w:p>
        </w:tc>
      </w:tr>
      <w:tr w:rsidR="00155973" w:rsidTr="00034C04">
        <w:tc>
          <w:tcPr>
            <w:tcW w:w="9242" w:type="dxa"/>
            <w:gridSpan w:val="2"/>
          </w:tcPr>
          <w:p w:rsidR="00155973" w:rsidRPr="00425AB4" w:rsidRDefault="00425AB4" w:rsidP="005B7AE2">
            <w:pPr>
              <w:rPr>
                <w:b/>
              </w:rPr>
            </w:pPr>
            <w:r w:rsidRPr="00425AB4">
              <w:rPr>
                <w:b/>
              </w:rPr>
              <w:lastRenderedPageBreak/>
              <w:t>The key challenges for the Partnership and how these will be addressed going forward</w:t>
            </w:r>
            <w:r>
              <w:rPr>
                <w:b/>
              </w:rPr>
              <w:t>.</w:t>
            </w:r>
          </w:p>
        </w:tc>
      </w:tr>
      <w:tr w:rsidR="00155973" w:rsidTr="002A77A8">
        <w:trPr>
          <w:trHeight w:val="70"/>
        </w:trPr>
        <w:tc>
          <w:tcPr>
            <w:tcW w:w="9242" w:type="dxa"/>
            <w:gridSpan w:val="2"/>
          </w:tcPr>
          <w:p w:rsidR="00155973" w:rsidRDefault="00155973" w:rsidP="00034C04"/>
          <w:p w:rsidR="0017097D" w:rsidRDefault="0017097D" w:rsidP="0017097D">
            <w:r>
              <w:t>Ensuring delivery against existing funding agreements</w:t>
            </w:r>
            <w:r w:rsidR="00FC1524">
              <w:t>,</w:t>
            </w:r>
            <w:r>
              <w:t xml:space="preserve"> which will be mitigated by the robust performance management framework in place and the strategic oversight role of the </w:t>
            </w:r>
            <w:r w:rsidR="008F6FDA">
              <w:t>G</w:t>
            </w:r>
            <w:r>
              <w:t xml:space="preserve">rowth </w:t>
            </w:r>
            <w:r w:rsidR="008F6FDA">
              <w:t>B</w:t>
            </w:r>
            <w:r>
              <w:t>oard</w:t>
            </w:r>
          </w:p>
          <w:p w:rsidR="0017097D" w:rsidRDefault="0017097D" w:rsidP="00034C04"/>
          <w:p w:rsidR="00692154" w:rsidRDefault="00F3687F" w:rsidP="00034C04">
            <w:r>
              <w:t xml:space="preserve">Ensuring we are able to respond positively and promptly and be ‘strategically opportunistic’ as potential </w:t>
            </w:r>
            <w:r w:rsidR="00753C5A">
              <w:t xml:space="preserve">future </w:t>
            </w:r>
            <w:r>
              <w:t>funding opportunities emerge. This will be addressed by ensuring partners and stakeholders are fully engaged and aware of potent</w:t>
            </w:r>
            <w:r w:rsidR="00753C5A">
              <w:t>ial opportunities as they arise, and by developing as far as is practicable a robust suite of business cases in advance of potential funding opportunities</w:t>
            </w:r>
          </w:p>
          <w:p w:rsidR="00F3687F" w:rsidRDefault="00F3687F" w:rsidP="00034C04"/>
          <w:p w:rsidR="00692154" w:rsidRDefault="0017097D" w:rsidP="00034C04">
            <w:r>
              <w:t>Capacity to continue to drive and champion growth in light of uncertainty surrounding future level</w:t>
            </w:r>
            <w:r w:rsidR="00753C5A">
              <w:t xml:space="preserve">s of </w:t>
            </w:r>
            <w:r>
              <w:t>government support. Alternative funding routes are continually kept under review</w:t>
            </w:r>
          </w:p>
          <w:p w:rsidR="00692154" w:rsidRDefault="00692154" w:rsidP="004A605D"/>
        </w:tc>
      </w:tr>
    </w:tbl>
    <w:p w:rsidR="0000655B" w:rsidRDefault="0000655B" w:rsidP="00692154"/>
    <w:p w:rsidR="0000655B" w:rsidRDefault="0000655B">
      <w:r>
        <w:br w:type="page"/>
      </w:r>
    </w:p>
    <w:tbl>
      <w:tblPr>
        <w:tblStyle w:val="TableGrid"/>
        <w:tblW w:w="0" w:type="auto"/>
        <w:tblLook w:val="04A0" w:firstRow="1" w:lastRow="0" w:firstColumn="1" w:lastColumn="0" w:noHBand="0" w:noVBand="1"/>
      </w:tblPr>
      <w:tblGrid>
        <w:gridCol w:w="3369"/>
        <w:gridCol w:w="5873"/>
      </w:tblGrid>
      <w:tr w:rsidR="0000655B" w:rsidTr="00FC1524">
        <w:tc>
          <w:tcPr>
            <w:tcW w:w="3369" w:type="dxa"/>
          </w:tcPr>
          <w:p w:rsidR="0000655B" w:rsidRPr="00A82CC1" w:rsidRDefault="0000655B" w:rsidP="00FC1524">
            <w:pPr>
              <w:rPr>
                <w:b/>
              </w:rPr>
            </w:pPr>
            <w:r w:rsidRPr="00A82CC1">
              <w:rPr>
                <w:b/>
              </w:rPr>
              <w:t xml:space="preserve">Partnership Name </w:t>
            </w:r>
          </w:p>
        </w:tc>
        <w:tc>
          <w:tcPr>
            <w:tcW w:w="5873" w:type="dxa"/>
          </w:tcPr>
          <w:p w:rsidR="00FC1524" w:rsidRDefault="0000655B" w:rsidP="00FC1524">
            <w:pPr>
              <w:rPr>
                <w:b/>
              </w:rPr>
            </w:pPr>
            <w:r>
              <w:rPr>
                <w:b/>
              </w:rPr>
              <w:t>Spatial Planning and Infrastructure Partnership</w:t>
            </w:r>
          </w:p>
          <w:p w:rsidR="000C4198" w:rsidRPr="000C4198" w:rsidRDefault="00212523" w:rsidP="00FC1524">
            <w:pPr>
              <w:rPr>
                <w:b/>
              </w:rPr>
            </w:pPr>
            <w:r>
              <w:rPr>
                <w:b/>
              </w:rPr>
              <w:t>(Growth Board)</w:t>
            </w:r>
          </w:p>
        </w:tc>
      </w:tr>
      <w:tr w:rsidR="0000655B" w:rsidTr="00FC1524">
        <w:trPr>
          <w:trHeight w:val="217"/>
        </w:trPr>
        <w:tc>
          <w:tcPr>
            <w:tcW w:w="3369" w:type="dxa"/>
          </w:tcPr>
          <w:p w:rsidR="0000655B" w:rsidRPr="00A82CC1" w:rsidRDefault="0000655B" w:rsidP="00FC1524">
            <w:pPr>
              <w:rPr>
                <w:b/>
              </w:rPr>
            </w:pPr>
            <w:r w:rsidRPr="00A82CC1">
              <w:rPr>
                <w:b/>
              </w:rPr>
              <w:t xml:space="preserve">Date of completion </w:t>
            </w:r>
          </w:p>
        </w:tc>
        <w:tc>
          <w:tcPr>
            <w:tcW w:w="5873" w:type="dxa"/>
          </w:tcPr>
          <w:p w:rsidR="0000655B" w:rsidRDefault="0000655B" w:rsidP="00EE38F7">
            <w:r>
              <w:t>30</w:t>
            </w:r>
            <w:r w:rsidR="00EE38F7" w:rsidRPr="00EE38F7">
              <w:rPr>
                <w:vertAlign w:val="superscript"/>
              </w:rPr>
              <w:t>th</w:t>
            </w:r>
            <w:r w:rsidR="00EE38F7">
              <w:t xml:space="preserve"> </w:t>
            </w:r>
            <w:r>
              <w:t>July 2014</w:t>
            </w:r>
            <w:r w:rsidR="00212523">
              <w:t xml:space="preserve"> </w:t>
            </w:r>
            <w:r w:rsidR="00212523" w:rsidRPr="00212523">
              <w:rPr>
                <w:i/>
                <w:sz w:val="20"/>
                <w:szCs w:val="20"/>
              </w:rPr>
              <w:t xml:space="preserve">- (updated </w:t>
            </w:r>
            <w:r w:rsidR="00212523">
              <w:rPr>
                <w:i/>
                <w:sz w:val="20"/>
                <w:szCs w:val="20"/>
              </w:rPr>
              <w:t>23rd</w:t>
            </w:r>
            <w:r w:rsidR="00212523" w:rsidRPr="00212523">
              <w:rPr>
                <w:i/>
                <w:sz w:val="20"/>
                <w:szCs w:val="20"/>
              </w:rPr>
              <w:t xml:space="preserve"> September 2014)</w:t>
            </w:r>
          </w:p>
        </w:tc>
      </w:tr>
      <w:tr w:rsidR="0000655B" w:rsidTr="00FC1524">
        <w:tc>
          <w:tcPr>
            <w:tcW w:w="3369" w:type="dxa"/>
          </w:tcPr>
          <w:p w:rsidR="0000655B" w:rsidRPr="00A82CC1" w:rsidRDefault="0000655B" w:rsidP="00FC1524">
            <w:pPr>
              <w:rPr>
                <w:b/>
              </w:rPr>
            </w:pPr>
            <w:r w:rsidRPr="00A82CC1">
              <w:rPr>
                <w:b/>
              </w:rPr>
              <w:t xml:space="preserve">Chairman </w:t>
            </w:r>
          </w:p>
        </w:tc>
        <w:tc>
          <w:tcPr>
            <w:tcW w:w="5873" w:type="dxa"/>
          </w:tcPr>
          <w:p w:rsidR="0000655B" w:rsidRDefault="0000655B" w:rsidP="00FC1524">
            <w:r>
              <w:t>Chairman, Lead Officer and Programme Officer:</w:t>
            </w:r>
          </w:p>
          <w:p w:rsidR="0000655B" w:rsidRDefault="0000655B" w:rsidP="00FC1524">
            <w:r w:rsidRPr="009E1C36">
              <w:t>Prior to June 2014:</w:t>
            </w:r>
          </w:p>
          <w:p w:rsidR="0000655B" w:rsidRDefault="0000655B" w:rsidP="00FC1524">
            <w:r>
              <w:t>Cllr M Barber, Vale of White Horse District Council</w:t>
            </w:r>
          </w:p>
          <w:p w:rsidR="0000655B" w:rsidRDefault="0000655B" w:rsidP="00FC1524">
            <w:r>
              <w:t xml:space="preserve">Anna Robinson, South Oxfordshire District Council </w:t>
            </w:r>
          </w:p>
          <w:p w:rsidR="0000655B" w:rsidRDefault="0000655B" w:rsidP="00FC1524">
            <w:r>
              <w:t>Carolyn Organ, South Oxfordshire District Council</w:t>
            </w:r>
          </w:p>
          <w:p w:rsidR="0000655B" w:rsidRDefault="0000655B" w:rsidP="00FC1524">
            <w:r w:rsidRPr="009E1C36">
              <w:t>July 2014 onwards:</w:t>
            </w:r>
          </w:p>
          <w:p w:rsidR="0000655B" w:rsidRDefault="0000655B" w:rsidP="00FC1524">
            <w:r w:rsidRPr="009E1C36">
              <w:t>Cllr B Norton,</w:t>
            </w:r>
            <w:r>
              <w:t xml:space="preserve"> West Oxfordshire district Council</w:t>
            </w:r>
          </w:p>
          <w:p w:rsidR="0000655B" w:rsidRDefault="0000655B" w:rsidP="00FC1524">
            <w:r>
              <w:t>Andrew Tucker, West Oxfordshire District Council</w:t>
            </w:r>
          </w:p>
          <w:p w:rsidR="0000655B" w:rsidRDefault="0000655B" w:rsidP="00FC1524">
            <w:r>
              <w:t>Programme Officer to be appointed</w:t>
            </w:r>
          </w:p>
        </w:tc>
      </w:tr>
      <w:tr w:rsidR="0000655B" w:rsidTr="00FC1524">
        <w:tc>
          <w:tcPr>
            <w:tcW w:w="3369" w:type="dxa"/>
          </w:tcPr>
          <w:p w:rsidR="0000655B" w:rsidRDefault="0000655B" w:rsidP="00FC1524">
            <w:pPr>
              <w:rPr>
                <w:b/>
              </w:rPr>
            </w:pPr>
            <w:r>
              <w:rPr>
                <w:b/>
              </w:rPr>
              <w:t>OCC Lead Member</w:t>
            </w:r>
          </w:p>
        </w:tc>
        <w:tc>
          <w:tcPr>
            <w:tcW w:w="5873" w:type="dxa"/>
          </w:tcPr>
          <w:p w:rsidR="0000655B" w:rsidRPr="009120CB" w:rsidRDefault="0000655B" w:rsidP="00FC1524">
            <w:r w:rsidRPr="009120CB">
              <w:t>Cllr Ian Hudspeth</w:t>
            </w:r>
          </w:p>
        </w:tc>
      </w:tr>
      <w:tr w:rsidR="0000655B" w:rsidTr="00FC1524">
        <w:tc>
          <w:tcPr>
            <w:tcW w:w="3369" w:type="dxa"/>
          </w:tcPr>
          <w:p w:rsidR="0000655B" w:rsidRPr="00B9555A" w:rsidRDefault="0000655B" w:rsidP="00FC1524">
            <w:pPr>
              <w:rPr>
                <w:b/>
              </w:rPr>
            </w:pPr>
            <w:r>
              <w:rPr>
                <w:b/>
              </w:rPr>
              <w:t>OCC Lead Officer</w:t>
            </w:r>
          </w:p>
        </w:tc>
        <w:tc>
          <w:tcPr>
            <w:tcW w:w="5873" w:type="dxa"/>
          </w:tcPr>
          <w:p w:rsidR="0000655B" w:rsidRPr="009120CB" w:rsidRDefault="0000655B" w:rsidP="00FC1524">
            <w:r w:rsidRPr="009120CB">
              <w:t>Tom Flanagan</w:t>
            </w:r>
          </w:p>
        </w:tc>
      </w:tr>
      <w:tr w:rsidR="0000655B" w:rsidTr="00FC1524">
        <w:tc>
          <w:tcPr>
            <w:tcW w:w="3369" w:type="dxa"/>
          </w:tcPr>
          <w:p w:rsidR="0000655B" w:rsidRPr="00B9555A" w:rsidRDefault="0000655B" w:rsidP="00FC1524">
            <w:pPr>
              <w:rPr>
                <w:b/>
              </w:rPr>
            </w:pPr>
            <w:r w:rsidRPr="00B9555A">
              <w:rPr>
                <w:b/>
              </w:rPr>
              <w:t>Last Meeting Date</w:t>
            </w:r>
          </w:p>
        </w:tc>
        <w:tc>
          <w:tcPr>
            <w:tcW w:w="5873" w:type="dxa"/>
          </w:tcPr>
          <w:p w:rsidR="0000655B" w:rsidRPr="009120CB" w:rsidRDefault="00212523" w:rsidP="00212523">
            <w:r w:rsidRPr="009120CB">
              <w:t>12</w:t>
            </w:r>
            <w:r w:rsidRPr="00212523">
              <w:rPr>
                <w:vertAlign w:val="superscript"/>
              </w:rPr>
              <w:t>th</w:t>
            </w:r>
            <w:r>
              <w:t xml:space="preserve"> </w:t>
            </w:r>
            <w:r w:rsidRPr="009120CB">
              <w:t>September 2014</w:t>
            </w:r>
          </w:p>
        </w:tc>
      </w:tr>
      <w:tr w:rsidR="0000655B" w:rsidTr="00FC1524">
        <w:tc>
          <w:tcPr>
            <w:tcW w:w="3369" w:type="dxa"/>
          </w:tcPr>
          <w:p w:rsidR="0000655B" w:rsidRPr="00B9555A" w:rsidRDefault="0000655B" w:rsidP="00FC1524">
            <w:pPr>
              <w:rPr>
                <w:b/>
              </w:rPr>
            </w:pPr>
            <w:r w:rsidRPr="00B9555A">
              <w:rPr>
                <w:b/>
              </w:rPr>
              <w:t>Next Meeting Date</w:t>
            </w:r>
          </w:p>
        </w:tc>
        <w:tc>
          <w:tcPr>
            <w:tcW w:w="5873" w:type="dxa"/>
          </w:tcPr>
          <w:p w:rsidR="0000655B" w:rsidRPr="009120CB" w:rsidRDefault="00212523" w:rsidP="00FC1524">
            <w:r>
              <w:t>20</w:t>
            </w:r>
            <w:r w:rsidRPr="00212523">
              <w:rPr>
                <w:vertAlign w:val="superscript"/>
              </w:rPr>
              <w:t>th</w:t>
            </w:r>
            <w:r>
              <w:t xml:space="preserve"> November 2014</w:t>
            </w:r>
          </w:p>
        </w:tc>
      </w:tr>
      <w:tr w:rsidR="0000655B" w:rsidTr="00FC1524">
        <w:tc>
          <w:tcPr>
            <w:tcW w:w="3369" w:type="dxa"/>
          </w:tcPr>
          <w:p w:rsidR="0000655B" w:rsidRPr="00B9555A" w:rsidRDefault="0000655B" w:rsidP="00FC1524">
            <w:pPr>
              <w:rPr>
                <w:b/>
              </w:rPr>
            </w:pPr>
            <w:r w:rsidRPr="00B9555A">
              <w:rPr>
                <w:b/>
              </w:rPr>
              <w:t>Website</w:t>
            </w:r>
            <w:r>
              <w:rPr>
                <w:b/>
              </w:rPr>
              <w:t xml:space="preserve"> Address</w:t>
            </w:r>
          </w:p>
        </w:tc>
        <w:tc>
          <w:tcPr>
            <w:tcW w:w="5873" w:type="dxa"/>
          </w:tcPr>
          <w:p w:rsidR="0000655B" w:rsidRPr="00686280" w:rsidRDefault="00686280" w:rsidP="00FC1524">
            <w:pPr>
              <w:rPr>
                <w:b/>
              </w:rPr>
            </w:pPr>
            <w:r w:rsidRPr="00FD3E19">
              <w:rPr>
                <w:rStyle w:val="Hyperlink"/>
              </w:rPr>
              <w:t xml:space="preserve">https://www.oxfordshire.gov.uk/cms/content/spatial-planning-and-infrastructure-partnership </w:t>
            </w:r>
          </w:p>
        </w:tc>
      </w:tr>
      <w:tr w:rsidR="0000655B" w:rsidTr="00FC1524">
        <w:tc>
          <w:tcPr>
            <w:tcW w:w="3369" w:type="dxa"/>
          </w:tcPr>
          <w:p w:rsidR="0000655B" w:rsidRPr="00B9555A" w:rsidRDefault="0000655B" w:rsidP="00FC1524">
            <w:pPr>
              <w:rPr>
                <w:b/>
              </w:rPr>
            </w:pPr>
            <w:r>
              <w:rPr>
                <w:b/>
              </w:rPr>
              <w:t>Governance Arrangements</w:t>
            </w:r>
          </w:p>
        </w:tc>
        <w:tc>
          <w:tcPr>
            <w:tcW w:w="5873" w:type="dxa"/>
          </w:tcPr>
          <w:p w:rsidR="0000655B" w:rsidRPr="009120CB" w:rsidRDefault="0000655B" w:rsidP="00FC1524">
            <w:r>
              <w:t>SPIP core membership comprises Leaders or Cabinet/ Executive Members from each of the local authorities and the LEP and Homes and Communities Agency, as well as invitiees from Thames Valley Police, Oxfordshire CCG, Environment Agency, Natural England and the Highways Agency. SPIP is supported by an executive of senior officers from the six member local authorities, the HCA, LEP and other partners.</w:t>
            </w:r>
          </w:p>
        </w:tc>
      </w:tr>
      <w:tr w:rsidR="0000655B" w:rsidTr="00FC1524">
        <w:tc>
          <w:tcPr>
            <w:tcW w:w="9242" w:type="dxa"/>
            <w:gridSpan w:val="2"/>
          </w:tcPr>
          <w:p w:rsidR="0000655B" w:rsidRPr="00765F88" w:rsidRDefault="0000655B" w:rsidP="00FC1524">
            <w:pPr>
              <w:rPr>
                <w:b/>
              </w:rPr>
            </w:pPr>
            <w:r w:rsidRPr="00765F88">
              <w:rPr>
                <w:b/>
              </w:rPr>
              <w:t>The current focus for the Partnership</w:t>
            </w:r>
          </w:p>
        </w:tc>
      </w:tr>
      <w:tr w:rsidR="0000655B" w:rsidTr="00FC1524">
        <w:tc>
          <w:tcPr>
            <w:tcW w:w="9242" w:type="dxa"/>
            <w:gridSpan w:val="2"/>
          </w:tcPr>
          <w:p w:rsidR="0000655B" w:rsidRPr="008E2A00" w:rsidRDefault="0000655B" w:rsidP="00FC1524">
            <w:pPr>
              <w:rPr>
                <w:b/>
                <w:u w:val="single"/>
              </w:rPr>
            </w:pPr>
          </w:p>
          <w:p w:rsidR="00686280" w:rsidRDefault="00686280" w:rsidP="00FD3E19">
            <w:pPr>
              <w:pStyle w:val="ListParagraph"/>
              <w:numPr>
                <w:ilvl w:val="0"/>
                <w:numId w:val="47"/>
              </w:numPr>
              <w:ind w:left="720"/>
            </w:pPr>
            <w:r w:rsidRPr="00FD3E19">
              <w:t>To provide a forum for partnership working and collaboration on spatial planning, economic</w:t>
            </w:r>
            <w:r>
              <w:t xml:space="preserve"> </w:t>
            </w:r>
            <w:r w:rsidRPr="00FD3E19">
              <w:t>development, housing, transport, and general infrastructure across Oxfordshire.</w:t>
            </w:r>
          </w:p>
          <w:p w:rsidR="00686280" w:rsidRDefault="00686280" w:rsidP="00FD3E19">
            <w:pPr>
              <w:pStyle w:val="ListParagraph"/>
            </w:pPr>
          </w:p>
          <w:p w:rsidR="00686280" w:rsidRDefault="00686280" w:rsidP="00FD3E19">
            <w:pPr>
              <w:pStyle w:val="ListParagraph"/>
              <w:numPr>
                <w:ilvl w:val="0"/>
                <w:numId w:val="47"/>
              </w:numPr>
              <w:ind w:left="720"/>
            </w:pPr>
            <w:r>
              <w:t>The impact of the the SHMA (Strategic Housing Market Assessment)</w:t>
            </w:r>
          </w:p>
          <w:p w:rsidR="00686280" w:rsidRDefault="00686280" w:rsidP="00FD3E19">
            <w:pPr>
              <w:ind w:left="5400"/>
            </w:pPr>
          </w:p>
          <w:p w:rsidR="0000655B" w:rsidRDefault="00686280" w:rsidP="00FD3E19">
            <w:pPr>
              <w:pStyle w:val="ListParagraph"/>
              <w:numPr>
                <w:ilvl w:val="0"/>
                <w:numId w:val="46"/>
              </w:numPr>
            </w:pPr>
            <w:r>
              <w:t>The launch of the Local Growth Board to take forward City Deal</w:t>
            </w:r>
            <w:r w:rsidDel="00686280">
              <w:t xml:space="preserve"> </w:t>
            </w:r>
          </w:p>
          <w:p w:rsidR="00686280" w:rsidRDefault="00686280" w:rsidP="00FC1524"/>
          <w:p w:rsidR="0000655B" w:rsidRPr="00EC23C3" w:rsidRDefault="0000655B" w:rsidP="00FC1524">
            <w:pPr>
              <w:pStyle w:val="ListParagraph"/>
            </w:pPr>
          </w:p>
        </w:tc>
      </w:tr>
      <w:tr w:rsidR="0000655B" w:rsidTr="00FC1524">
        <w:trPr>
          <w:trHeight w:val="293"/>
        </w:trPr>
        <w:tc>
          <w:tcPr>
            <w:tcW w:w="9242" w:type="dxa"/>
            <w:gridSpan w:val="2"/>
          </w:tcPr>
          <w:p w:rsidR="0000655B" w:rsidRPr="00765F88" w:rsidRDefault="0000655B" w:rsidP="00FC1524">
            <w:pPr>
              <w:rPr>
                <w:b/>
              </w:rPr>
            </w:pPr>
            <w:r w:rsidRPr="00765F88">
              <w:rPr>
                <w:b/>
              </w:rPr>
              <w:t>The Partnership’s key achievements in the last year</w:t>
            </w:r>
          </w:p>
        </w:tc>
      </w:tr>
      <w:tr w:rsidR="0000655B" w:rsidTr="00FC1524">
        <w:tc>
          <w:tcPr>
            <w:tcW w:w="9242" w:type="dxa"/>
            <w:gridSpan w:val="2"/>
          </w:tcPr>
          <w:p w:rsidR="0000655B" w:rsidRDefault="0000655B" w:rsidP="00FC1524"/>
          <w:p w:rsidR="0000655B" w:rsidRDefault="0000655B" w:rsidP="0000655B">
            <w:pPr>
              <w:pStyle w:val="ListParagraph"/>
              <w:numPr>
                <w:ilvl w:val="0"/>
                <w:numId w:val="4"/>
              </w:numPr>
            </w:pPr>
            <w:r>
              <w:t>Agreement of the Statement of Co</w:t>
            </w:r>
            <w:r w:rsidR="00FC1524">
              <w:t>-</w:t>
            </w:r>
            <w:r>
              <w:t>operation to support the post SHMA</w:t>
            </w:r>
            <w:r w:rsidR="00686280">
              <w:t xml:space="preserve"> (Strategic Housing Market Assessment) </w:t>
            </w:r>
            <w:r>
              <w:t xml:space="preserve"> joint working for developing and testing spatial strategy options for accommodating unmet housing needs;</w:t>
            </w:r>
          </w:p>
          <w:p w:rsidR="0000655B" w:rsidRDefault="0000655B" w:rsidP="00FC1524">
            <w:pPr>
              <w:pStyle w:val="ListParagraph"/>
            </w:pPr>
          </w:p>
          <w:p w:rsidR="0000655B" w:rsidRDefault="0000655B" w:rsidP="0000655B">
            <w:pPr>
              <w:pStyle w:val="ListParagraph"/>
              <w:numPr>
                <w:ilvl w:val="0"/>
                <w:numId w:val="4"/>
              </w:numPr>
            </w:pPr>
            <w:r>
              <w:t>Input to the City Deal and the Local Growth Deal, in particular the potential housing programmes in each district and the strategic transport infrastructure needed to support growth;</w:t>
            </w:r>
          </w:p>
          <w:p w:rsidR="0000655B" w:rsidRDefault="0000655B" w:rsidP="00FC1524"/>
          <w:p w:rsidR="0000655B" w:rsidRDefault="0000655B" w:rsidP="0000655B">
            <w:pPr>
              <w:pStyle w:val="ListParagraph"/>
              <w:numPr>
                <w:ilvl w:val="0"/>
                <w:numId w:val="4"/>
              </w:numPr>
            </w:pPr>
            <w:r>
              <w:t>Publication of the SHMA;</w:t>
            </w:r>
          </w:p>
          <w:p w:rsidR="0000655B" w:rsidRDefault="0000655B" w:rsidP="00FC1524"/>
          <w:p w:rsidR="0000655B" w:rsidRDefault="00686280" w:rsidP="0000655B">
            <w:pPr>
              <w:pStyle w:val="ListParagraph"/>
              <w:numPr>
                <w:ilvl w:val="0"/>
                <w:numId w:val="4"/>
              </w:numPr>
            </w:pPr>
            <w:r>
              <w:t xml:space="preserve">Agreement  </w:t>
            </w:r>
            <w:r w:rsidR="0000655B">
              <w:t>to establish a Local Growth Board to take forward City Deal, the Local Growth Deal, work on the Strategic Economic Plan and other projects.</w:t>
            </w:r>
          </w:p>
          <w:p w:rsidR="0000655B" w:rsidRDefault="0000655B" w:rsidP="00FC1524">
            <w:pPr>
              <w:pStyle w:val="ListParagraph"/>
            </w:pPr>
          </w:p>
        </w:tc>
      </w:tr>
      <w:tr w:rsidR="0000655B" w:rsidTr="00FC1524">
        <w:tc>
          <w:tcPr>
            <w:tcW w:w="9242" w:type="dxa"/>
            <w:gridSpan w:val="2"/>
          </w:tcPr>
          <w:p w:rsidR="0000655B" w:rsidRPr="004B3CEE" w:rsidRDefault="0000655B" w:rsidP="00FC1524">
            <w:pPr>
              <w:rPr>
                <w:b/>
                <w:highlight w:val="yellow"/>
              </w:rPr>
            </w:pPr>
            <w:r w:rsidRPr="00E2298C">
              <w:rPr>
                <w:b/>
              </w:rPr>
              <w:t>The aims for the Partnership in the year ahead</w:t>
            </w:r>
          </w:p>
        </w:tc>
      </w:tr>
      <w:tr w:rsidR="0000655B" w:rsidTr="00FC1524">
        <w:tc>
          <w:tcPr>
            <w:tcW w:w="9242" w:type="dxa"/>
            <w:gridSpan w:val="2"/>
          </w:tcPr>
          <w:p w:rsidR="0000655B" w:rsidRDefault="0000655B" w:rsidP="00FC1524">
            <w:pPr>
              <w:pStyle w:val="ListParagraph"/>
            </w:pPr>
          </w:p>
          <w:p w:rsidR="0000655B" w:rsidRDefault="0000655B" w:rsidP="0000655B">
            <w:pPr>
              <w:pStyle w:val="ListParagraph"/>
              <w:numPr>
                <w:ilvl w:val="0"/>
                <w:numId w:val="5"/>
              </w:numPr>
            </w:pPr>
            <w:r>
              <w:t xml:space="preserve">To establish the Local Growth Board governance arrangements and appropriate officer support in discussion with the LEP and the Local Transport Board; </w:t>
            </w:r>
          </w:p>
          <w:p w:rsidR="0000655B" w:rsidRDefault="0000655B" w:rsidP="00FC1524">
            <w:pPr>
              <w:ind w:left="360"/>
            </w:pPr>
          </w:p>
          <w:p w:rsidR="0000655B" w:rsidRDefault="0000655B" w:rsidP="0000655B">
            <w:pPr>
              <w:pStyle w:val="ListParagraph"/>
              <w:numPr>
                <w:ilvl w:val="0"/>
                <w:numId w:val="5"/>
              </w:numPr>
            </w:pPr>
            <w:r>
              <w:t xml:space="preserve">To agree the scale of unmet housing need and to agree the joint spatial strategy work programme.  If achievable, to agree and consult on a spatial strategy for Oxfordshire that meets SHMA requirements: recognising that this is a complex issue and work may therefore take longer than a year to conclude. </w:t>
            </w:r>
          </w:p>
          <w:p w:rsidR="0000655B" w:rsidRDefault="0000655B" w:rsidP="00FC1524">
            <w:pPr>
              <w:pStyle w:val="ListParagraph"/>
            </w:pPr>
          </w:p>
        </w:tc>
      </w:tr>
      <w:tr w:rsidR="0000655B" w:rsidTr="00FC1524">
        <w:tc>
          <w:tcPr>
            <w:tcW w:w="9242" w:type="dxa"/>
            <w:gridSpan w:val="2"/>
          </w:tcPr>
          <w:p w:rsidR="0000655B" w:rsidRPr="00425AB4" w:rsidRDefault="0000655B" w:rsidP="00FC1524">
            <w:pPr>
              <w:rPr>
                <w:b/>
              </w:rPr>
            </w:pPr>
            <w:r w:rsidRPr="00425AB4">
              <w:rPr>
                <w:b/>
              </w:rPr>
              <w:t>The key challenges for the Partnership and how these will be addressed going forward</w:t>
            </w:r>
            <w:r>
              <w:rPr>
                <w:b/>
              </w:rPr>
              <w:t>.</w:t>
            </w:r>
          </w:p>
        </w:tc>
      </w:tr>
      <w:tr w:rsidR="0000655B" w:rsidTr="00FC1524">
        <w:trPr>
          <w:trHeight w:val="70"/>
        </w:trPr>
        <w:tc>
          <w:tcPr>
            <w:tcW w:w="9242" w:type="dxa"/>
            <w:gridSpan w:val="2"/>
          </w:tcPr>
          <w:p w:rsidR="0000655B" w:rsidRDefault="0000655B" w:rsidP="00FC1524">
            <w:pPr>
              <w:pStyle w:val="ListParagraph"/>
            </w:pPr>
          </w:p>
          <w:p w:rsidR="0000655B" w:rsidRDefault="0000655B" w:rsidP="0000655B">
            <w:pPr>
              <w:pStyle w:val="ListParagraph"/>
              <w:numPr>
                <w:ilvl w:val="0"/>
                <w:numId w:val="6"/>
              </w:numPr>
            </w:pPr>
            <w:r>
              <w:t>Agreement of spatial strategy options for dealing with Oxford’s unmet need and identification of sites in the context of duty to cooperate. This is likely to involve consideration and assessment of a number of different o</w:t>
            </w:r>
            <w:r w:rsidR="00FC1524">
              <w:t>ptions for meeting this need</w:t>
            </w:r>
            <w:r>
              <w:t>;</w:t>
            </w:r>
          </w:p>
          <w:p w:rsidR="0000655B" w:rsidRDefault="0000655B" w:rsidP="00FC1524">
            <w:pPr>
              <w:ind w:left="360"/>
            </w:pPr>
          </w:p>
          <w:p w:rsidR="0000655B" w:rsidRDefault="0000655B" w:rsidP="0000655B">
            <w:pPr>
              <w:pStyle w:val="ListParagraph"/>
              <w:numPr>
                <w:ilvl w:val="0"/>
                <w:numId w:val="6"/>
              </w:numPr>
            </w:pPr>
            <w:r>
              <w:t>Delivering the accelerated housing programme in the City Deal;</w:t>
            </w:r>
          </w:p>
          <w:p w:rsidR="0000655B" w:rsidRDefault="0000655B" w:rsidP="00FC1524"/>
          <w:p w:rsidR="0000655B" w:rsidRDefault="0000655B" w:rsidP="00FC1524">
            <w:pPr>
              <w:pStyle w:val="ListParagraph"/>
              <w:numPr>
                <w:ilvl w:val="0"/>
                <w:numId w:val="6"/>
              </w:numPr>
            </w:pPr>
            <w:r>
              <w:t>Consideration of appointing an independent chair for member meetings, to help the process of making potentially difficult decisions and move work forward</w:t>
            </w:r>
          </w:p>
          <w:p w:rsidR="004E2226" w:rsidRDefault="004E2226" w:rsidP="004E2226">
            <w:pPr>
              <w:pStyle w:val="ListParagraph"/>
            </w:pPr>
          </w:p>
          <w:p w:rsidR="004E2226" w:rsidRDefault="004E2226" w:rsidP="00FC1524">
            <w:pPr>
              <w:pStyle w:val="ListParagraph"/>
              <w:numPr>
                <w:ilvl w:val="0"/>
                <w:numId w:val="6"/>
              </w:numPr>
            </w:pPr>
            <w:r>
              <w:t>Working to integrate the functions of SPIP and the Local Transport Board in order to establish the Oxfordshire Growth Board.</w:t>
            </w:r>
          </w:p>
          <w:p w:rsidR="00686280" w:rsidRDefault="00686280" w:rsidP="00FD3E19">
            <w:pPr>
              <w:pStyle w:val="ListParagraph"/>
            </w:pPr>
          </w:p>
          <w:p w:rsidR="00686280" w:rsidRDefault="00686280" w:rsidP="00FD3E19">
            <w:pPr>
              <w:pStyle w:val="ListParagraph"/>
            </w:pPr>
          </w:p>
        </w:tc>
      </w:tr>
    </w:tbl>
    <w:p w:rsidR="00686280" w:rsidRDefault="00686280">
      <w:r>
        <w:br w:type="page"/>
      </w:r>
    </w:p>
    <w:tbl>
      <w:tblPr>
        <w:tblStyle w:val="TableGrid"/>
        <w:tblW w:w="0" w:type="auto"/>
        <w:tblLook w:val="04A0" w:firstRow="1" w:lastRow="0" w:firstColumn="1" w:lastColumn="0" w:noHBand="0" w:noVBand="1"/>
      </w:tblPr>
      <w:tblGrid>
        <w:gridCol w:w="3369"/>
        <w:gridCol w:w="5873"/>
      </w:tblGrid>
      <w:tr w:rsidR="0000655B" w:rsidTr="00FC1524">
        <w:tc>
          <w:tcPr>
            <w:tcW w:w="3369" w:type="dxa"/>
          </w:tcPr>
          <w:p w:rsidR="0000655B" w:rsidRPr="00A82CC1" w:rsidRDefault="0000655B" w:rsidP="00FC1524">
            <w:pPr>
              <w:rPr>
                <w:b/>
              </w:rPr>
            </w:pPr>
            <w:r>
              <w:br w:type="page"/>
            </w:r>
            <w:r w:rsidRPr="00A82CC1">
              <w:rPr>
                <w:b/>
              </w:rPr>
              <w:t xml:space="preserve">Partnership Name </w:t>
            </w:r>
          </w:p>
        </w:tc>
        <w:tc>
          <w:tcPr>
            <w:tcW w:w="5873" w:type="dxa"/>
          </w:tcPr>
          <w:p w:rsidR="0000655B" w:rsidRPr="00575496" w:rsidRDefault="0000655B" w:rsidP="00FC1524">
            <w:pPr>
              <w:rPr>
                <w:b/>
              </w:rPr>
            </w:pPr>
            <w:r w:rsidRPr="00575496">
              <w:rPr>
                <w:b/>
              </w:rPr>
              <w:t>Oxfordshire Environment and Waste Partnership</w:t>
            </w:r>
            <w:r w:rsidR="003A0162">
              <w:rPr>
                <w:b/>
              </w:rPr>
              <w:t>s</w:t>
            </w:r>
          </w:p>
        </w:tc>
      </w:tr>
      <w:tr w:rsidR="0000655B" w:rsidTr="00FC1524">
        <w:trPr>
          <w:trHeight w:val="217"/>
        </w:trPr>
        <w:tc>
          <w:tcPr>
            <w:tcW w:w="3369" w:type="dxa"/>
          </w:tcPr>
          <w:p w:rsidR="0000655B" w:rsidRPr="00A82CC1" w:rsidRDefault="0000655B" w:rsidP="00FC1524">
            <w:pPr>
              <w:rPr>
                <w:b/>
              </w:rPr>
            </w:pPr>
            <w:r w:rsidRPr="00A82CC1">
              <w:rPr>
                <w:b/>
              </w:rPr>
              <w:t xml:space="preserve">Date of completion </w:t>
            </w:r>
          </w:p>
        </w:tc>
        <w:tc>
          <w:tcPr>
            <w:tcW w:w="5873" w:type="dxa"/>
          </w:tcPr>
          <w:p w:rsidR="0000655B" w:rsidRPr="00575496" w:rsidRDefault="0000655B" w:rsidP="00FC1524">
            <w:r>
              <w:t>25</w:t>
            </w:r>
            <w:r w:rsidRPr="003A2E8B">
              <w:rPr>
                <w:vertAlign w:val="superscript"/>
              </w:rPr>
              <w:t>th</w:t>
            </w:r>
            <w:r>
              <w:t xml:space="preserve"> June 2014</w:t>
            </w:r>
            <w:r w:rsidR="00212523">
              <w:t xml:space="preserve"> </w:t>
            </w:r>
            <w:r w:rsidR="00212523" w:rsidRPr="00212523">
              <w:rPr>
                <w:i/>
                <w:sz w:val="20"/>
                <w:szCs w:val="20"/>
              </w:rPr>
              <w:t xml:space="preserve">(updated </w:t>
            </w:r>
            <w:r w:rsidR="00212523">
              <w:rPr>
                <w:i/>
                <w:sz w:val="20"/>
                <w:szCs w:val="20"/>
              </w:rPr>
              <w:t>18</w:t>
            </w:r>
            <w:r w:rsidR="00212523" w:rsidRPr="00212523">
              <w:rPr>
                <w:i/>
                <w:sz w:val="20"/>
                <w:szCs w:val="20"/>
                <w:vertAlign w:val="superscript"/>
              </w:rPr>
              <w:t>th</w:t>
            </w:r>
            <w:r w:rsidR="00212523" w:rsidRPr="00212523">
              <w:rPr>
                <w:i/>
                <w:sz w:val="20"/>
                <w:szCs w:val="20"/>
              </w:rPr>
              <w:t xml:space="preserve"> September 2014)</w:t>
            </w:r>
          </w:p>
        </w:tc>
      </w:tr>
      <w:tr w:rsidR="0000655B" w:rsidTr="00FC1524">
        <w:tc>
          <w:tcPr>
            <w:tcW w:w="3369" w:type="dxa"/>
          </w:tcPr>
          <w:p w:rsidR="0000655B" w:rsidRPr="00A82CC1" w:rsidRDefault="0000655B" w:rsidP="00FC1524">
            <w:pPr>
              <w:rPr>
                <w:b/>
              </w:rPr>
            </w:pPr>
            <w:r w:rsidRPr="00A82CC1">
              <w:rPr>
                <w:b/>
              </w:rPr>
              <w:t xml:space="preserve">Chairman </w:t>
            </w:r>
          </w:p>
        </w:tc>
        <w:tc>
          <w:tcPr>
            <w:tcW w:w="5873" w:type="dxa"/>
          </w:tcPr>
          <w:p w:rsidR="0000655B" w:rsidRPr="00575496" w:rsidRDefault="0000655B" w:rsidP="00FC1524">
            <w:r>
              <w:t>Cll</w:t>
            </w:r>
            <w:r w:rsidRPr="00575496">
              <w:t>r David Dodds</w:t>
            </w:r>
            <w:r>
              <w:t>, South Oxfordshire District Council (until March 2014).  Moving to Councillor Reg Waite, Vale of White Horse District Council for next meeting.</w:t>
            </w:r>
          </w:p>
        </w:tc>
      </w:tr>
      <w:tr w:rsidR="0000655B" w:rsidTr="00FC1524">
        <w:tc>
          <w:tcPr>
            <w:tcW w:w="3369" w:type="dxa"/>
          </w:tcPr>
          <w:p w:rsidR="0000655B" w:rsidRDefault="0000655B" w:rsidP="00FC1524">
            <w:pPr>
              <w:rPr>
                <w:b/>
              </w:rPr>
            </w:pPr>
            <w:r>
              <w:rPr>
                <w:b/>
              </w:rPr>
              <w:t>OCC Lead Member</w:t>
            </w:r>
          </w:p>
        </w:tc>
        <w:tc>
          <w:tcPr>
            <w:tcW w:w="5873" w:type="dxa"/>
          </w:tcPr>
          <w:p w:rsidR="0000655B" w:rsidRPr="00575496" w:rsidRDefault="0000655B" w:rsidP="00FC1524">
            <w:r>
              <w:t>Councillor Nimmo-Smith</w:t>
            </w:r>
          </w:p>
        </w:tc>
      </w:tr>
      <w:tr w:rsidR="0000655B" w:rsidTr="00FC1524">
        <w:tc>
          <w:tcPr>
            <w:tcW w:w="3369" w:type="dxa"/>
          </w:tcPr>
          <w:p w:rsidR="0000655B" w:rsidRPr="00B9555A" w:rsidRDefault="0000655B" w:rsidP="00FC1524">
            <w:pPr>
              <w:rPr>
                <w:b/>
              </w:rPr>
            </w:pPr>
            <w:r>
              <w:rPr>
                <w:b/>
              </w:rPr>
              <w:t>OCC Lead Officer</w:t>
            </w:r>
          </w:p>
        </w:tc>
        <w:tc>
          <w:tcPr>
            <w:tcW w:w="5873" w:type="dxa"/>
          </w:tcPr>
          <w:p w:rsidR="0000655B" w:rsidRPr="00575496" w:rsidRDefault="0000655B" w:rsidP="00FC1524">
            <w:r>
              <w:t>Rachel Burns (for OWP) Sarah Gilbert (for OEP)</w:t>
            </w:r>
          </w:p>
        </w:tc>
      </w:tr>
      <w:tr w:rsidR="0000655B" w:rsidTr="00FC1524">
        <w:tc>
          <w:tcPr>
            <w:tcW w:w="3369" w:type="dxa"/>
          </w:tcPr>
          <w:p w:rsidR="0000655B" w:rsidRPr="00B9555A" w:rsidRDefault="0000655B" w:rsidP="00FC1524">
            <w:pPr>
              <w:rPr>
                <w:b/>
              </w:rPr>
            </w:pPr>
            <w:r w:rsidRPr="00B9555A">
              <w:rPr>
                <w:b/>
              </w:rPr>
              <w:t>Last Meeting Date</w:t>
            </w:r>
          </w:p>
        </w:tc>
        <w:tc>
          <w:tcPr>
            <w:tcW w:w="5873" w:type="dxa"/>
          </w:tcPr>
          <w:p w:rsidR="0000655B" w:rsidRPr="003A2E8B" w:rsidRDefault="0000655B" w:rsidP="00FC1524">
            <w:r w:rsidRPr="003A2E8B">
              <w:t>4</w:t>
            </w:r>
            <w:r w:rsidRPr="003A2E8B">
              <w:rPr>
                <w:vertAlign w:val="superscript"/>
              </w:rPr>
              <w:t>th</w:t>
            </w:r>
            <w:r w:rsidRPr="003A2E8B">
              <w:t xml:space="preserve"> April 2014</w:t>
            </w:r>
          </w:p>
        </w:tc>
      </w:tr>
      <w:tr w:rsidR="0000655B" w:rsidTr="00FC1524">
        <w:tc>
          <w:tcPr>
            <w:tcW w:w="3369" w:type="dxa"/>
          </w:tcPr>
          <w:p w:rsidR="0000655B" w:rsidRPr="00B9555A" w:rsidRDefault="0000655B" w:rsidP="00FC1524">
            <w:pPr>
              <w:rPr>
                <w:b/>
              </w:rPr>
            </w:pPr>
            <w:r w:rsidRPr="00B9555A">
              <w:rPr>
                <w:b/>
              </w:rPr>
              <w:t>Next Meeting Date</w:t>
            </w:r>
          </w:p>
        </w:tc>
        <w:tc>
          <w:tcPr>
            <w:tcW w:w="5873" w:type="dxa"/>
          </w:tcPr>
          <w:p w:rsidR="0000655B" w:rsidRPr="003A2E8B" w:rsidRDefault="0000655B" w:rsidP="00FC1524">
            <w:r w:rsidRPr="003A2E8B">
              <w:t>24</w:t>
            </w:r>
            <w:r w:rsidRPr="003A2E8B">
              <w:rPr>
                <w:vertAlign w:val="superscript"/>
              </w:rPr>
              <w:t>th</w:t>
            </w:r>
            <w:r w:rsidRPr="003A2E8B">
              <w:t xml:space="preserve"> October 2014</w:t>
            </w:r>
          </w:p>
        </w:tc>
      </w:tr>
      <w:tr w:rsidR="0000655B" w:rsidTr="00FC1524">
        <w:tc>
          <w:tcPr>
            <w:tcW w:w="3369" w:type="dxa"/>
          </w:tcPr>
          <w:p w:rsidR="0000655B" w:rsidRPr="00B9555A" w:rsidRDefault="0000655B" w:rsidP="00FC1524">
            <w:pPr>
              <w:rPr>
                <w:b/>
              </w:rPr>
            </w:pPr>
            <w:r w:rsidRPr="00B9555A">
              <w:rPr>
                <w:b/>
              </w:rPr>
              <w:t>Website</w:t>
            </w:r>
            <w:r>
              <w:rPr>
                <w:b/>
              </w:rPr>
              <w:t xml:space="preserve"> Address</w:t>
            </w:r>
          </w:p>
        </w:tc>
        <w:tc>
          <w:tcPr>
            <w:tcW w:w="5873" w:type="dxa"/>
          </w:tcPr>
          <w:p w:rsidR="0000655B" w:rsidRPr="003A2E8B" w:rsidRDefault="003A0162" w:rsidP="00FC1524">
            <w:r w:rsidRPr="003A0162">
              <w:t>www.recycleforoxfordshire.org.uk</w:t>
            </w:r>
          </w:p>
        </w:tc>
      </w:tr>
      <w:tr w:rsidR="0000655B" w:rsidTr="00FC1524">
        <w:tc>
          <w:tcPr>
            <w:tcW w:w="3369" w:type="dxa"/>
          </w:tcPr>
          <w:p w:rsidR="0000655B" w:rsidRPr="00B9555A" w:rsidRDefault="0000655B" w:rsidP="00FC1524">
            <w:pPr>
              <w:rPr>
                <w:b/>
              </w:rPr>
            </w:pPr>
            <w:r>
              <w:rPr>
                <w:b/>
              </w:rPr>
              <w:t>Governance Arrangements</w:t>
            </w:r>
          </w:p>
        </w:tc>
        <w:tc>
          <w:tcPr>
            <w:tcW w:w="5873" w:type="dxa"/>
          </w:tcPr>
          <w:p w:rsidR="0000655B" w:rsidRDefault="0000655B" w:rsidP="00FC1524">
            <w:r>
              <w:t>To be reviewed and agreed at October meeting.  See “Aims for the Partnership in the Year Ahead” below.</w:t>
            </w:r>
          </w:p>
          <w:p w:rsidR="0000655B" w:rsidRPr="00B64EE4" w:rsidRDefault="0000655B" w:rsidP="00FC1524"/>
        </w:tc>
      </w:tr>
      <w:tr w:rsidR="0000655B" w:rsidTr="00FC1524">
        <w:tc>
          <w:tcPr>
            <w:tcW w:w="9242" w:type="dxa"/>
            <w:gridSpan w:val="2"/>
          </w:tcPr>
          <w:p w:rsidR="0000655B" w:rsidRPr="00765F88" w:rsidRDefault="0000655B" w:rsidP="00FC1524">
            <w:pPr>
              <w:rPr>
                <w:b/>
              </w:rPr>
            </w:pPr>
            <w:r w:rsidRPr="00765F88">
              <w:rPr>
                <w:b/>
              </w:rPr>
              <w:t>The current focus for the Partnership</w:t>
            </w:r>
          </w:p>
        </w:tc>
      </w:tr>
      <w:tr w:rsidR="0000655B" w:rsidTr="00FC1524">
        <w:tc>
          <w:tcPr>
            <w:tcW w:w="9242" w:type="dxa"/>
            <w:gridSpan w:val="2"/>
          </w:tcPr>
          <w:p w:rsidR="0000655B" w:rsidRPr="00575496" w:rsidRDefault="0000655B" w:rsidP="00FC1524"/>
          <w:p w:rsidR="0000655B" w:rsidRPr="00575496" w:rsidRDefault="0000655B" w:rsidP="00FC1524">
            <w:r w:rsidRPr="00575496">
              <w:t>The focus o</w:t>
            </w:r>
            <w:r>
              <w:t>f the Environment Partnership in 2013/14 was</w:t>
            </w:r>
            <w:r w:rsidRPr="00575496">
              <w:t>:</w:t>
            </w:r>
          </w:p>
          <w:p w:rsidR="0000655B" w:rsidRPr="00575496" w:rsidRDefault="0000655B" w:rsidP="00FC1524"/>
          <w:p w:rsidR="0000655B" w:rsidRPr="00575496" w:rsidRDefault="0000655B" w:rsidP="0000655B">
            <w:pPr>
              <w:numPr>
                <w:ilvl w:val="0"/>
                <w:numId w:val="7"/>
              </w:numPr>
            </w:pPr>
            <w:r w:rsidRPr="00575496">
              <w:t>Reducing greenhouse gas emissions and strengthening climate resilience;</w:t>
            </w:r>
          </w:p>
          <w:p w:rsidR="0000655B" w:rsidRDefault="0000655B" w:rsidP="0000655B">
            <w:pPr>
              <w:numPr>
                <w:ilvl w:val="0"/>
                <w:numId w:val="7"/>
              </w:numPr>
            </w:pPr>
            <w:r w:rsidRPr="00575496">
              <w:t>Sharing best practice across local authorities and local community groups to strengthen joint working and de</w:t>
            </w:r>
            <w:r>
              <w:t>velop capacity</w:t>
            </w:r>
            <w:r w:rsidRPr="00575496">
              <w:t xml:space="preserve"> to meet our Oxfordshire 2030 targets.</w:t>
            </w:r>
          </w:p>
          <w:p w:rsidR="0000655B" w:rsidRDefault="0000655B" w:rsidP="00FC1524">
            <w:pPr>
              <w:pStyle w:val="ListParagraph"/>
            </w:pPr>
          </w:p>
          <w:p w:rsidR="0000655B" w:rsidRPr="00575496" w:rsidRDefault="0000655B" w:rsidP="00FC1524">
            <w:r>
              <w:t>The OEP partners became signatories of Climate Local in 2013.  OEP annual commitments (</w:t>
            </w:r>
            <w:hyperlink r:id="rId10" w:history="1">
              <w:r w:rsidR="00D358DC" w:rsidRPr="00AF7415">
                <w:rPr>
                  <w:rStyle w:val="Hyperlink"/>
                </w:rPr>
                <w:t>https://www.oxfordshire.gov.uk/cms/content/environment-and-waste-partnership</w:t>
              </w:r>
            </w:hyperlink>
            <w:r w:rsidR="00D358DC">
              <w:t xml:space="preserve"> </w:t>
            </w:r>
            <w:r>
              <w:t xml:space="preserve">) are drawn from Oxfordshire 2030 and captured under the Climate Local framework. </w:t>
            </w:r>
          </w:p>
          <w:p w:rsidR="0000655B" w:rsidRPr="00575496" w:rsidRDefault="0000655B" w:rsidP="00FC1524">
            <w:pPr>
              <w:pStyle w:val="ListParagraph"/>
            </w:pPr>
          </w:p>
          <w:p w:rsidR="0000655B" w:rsidRDefault="0000655B" w:rsidP="00FC1524">
            <w:r w:rsidRPr="00575496">
              <w:t>The focu</w:t>
            </w:r>
            <w:r>
              <w:t>s of the Waste Partnership in 2013/14 was</w:t>
            </w:r>
            <w:r w:rsidRPr="00575496">
              <w:t>:</w:t>
            </w:r>
          </w:p>
          <w:p w:rsidR="0000655B" w:rsidRPr="00575496" w:rsidRDefault="0000655B" w:rsidP="00FC1524"/>
          <w:p w:rsidR="0000655B" w:rsidRPr="00575496" w:rsidRDefault="0000655B" w:rsidP="0000655B">
            <w:pPr>
              <w:numPr>
                <w:ilvl w:val="0"/>
                <w:numId w:val="8"/>
              </w:numPr>
            </w:pPr>
            <w:r w:rsidRPr="00575496">
              <w:t>Reducing waste and maximising reuse, recycling and composting;</w:t>
            </w:r>
          </w:p>
          <w:p w:rsidR="0000655B" w:rsidRDefault="0000655B" w:rsidP="0000655B">
            <w:pPr>
              <w:numPr>
                <w:ilvl w:val="0"/>
                <w:numId w:val="8"/>
              </w:numPr>
            </w:pPr>
            <w:r w:rsidRPr="00575496">
              <w:t>Reducing the environmental and financial costs of managing household waste.</w:t>
            </w:r>
          </w:p>
          <w:p w:rsidR="0000655B" w:rsidRDefault="0000655B" w:rsidP="00FC1524"/>
          <w:p w:rsidR="0000655B" w:rsidRDefault="0000655B" w:rsidP="00FC1524">
            <w:r>
              <w:t xml:space="preserve">Specific actions and commitments are drawn from the refreshed Joint Municipal </w:t>
            </w:r>
            <w:r w:rsidRPr="00DE0321">
              <w:t>Waste Management Strategy published in 2013</w:t>
            </w:r>
            <w:r>
              <w:t>.</w:t>
            </w:r>
          </w:p>
          <w:p w:rsidR="004E2226" w:rsidRPr="00DE0321" w:rsidRDefault="004E2226" w:rsidP="004E2226"/>
          <w:p w:rsidR="004E2226" w:rsidRDefault="004E2226" w:rsidP="004E2226">
            <w:r>
              <w:t xml:space="preserve">On 4 April 2014 a decision was taken that the primary aims of the Oxfordshire Waste Partnership (OWP) had been achieved, and that it should be wound down as a formally constituted body.  </w:t>
            </w:r>
          </w:p>
          <w:p w:rsidR="004E2226" w:rsidRDefault="004E2226" w:rsidP="004E2226"/>
          <w:p w:rsidR="004E2226" w:rsidRDefault="004E2226" w:rsidP="004E2226">
            <w:r>
              <w:t>Councillors emphasised their continued support for the Joint Municipal Waste Management Strategy, and informal partnership arrangements will continue to ensure that a coordinated approach to waste management across the county continues.</w:t>
            </w:r>
          </w:p>
          <w:p w:rsidR="00FC1524" w:rsidRPr="00EF33D3" w:rsidRDefault="00FC1524" w:rsidP="004E2226">
            <w:pPr>
              <w:rPr>
                <w:rFonts w:eastAsia="Times New Roman"/>
                <w:lang w:eastAsia="en-GB"/>
              </w:rPr>
            </w:pPr>
          </w:p>
        </w:tc>
      </w:tr>
      <w:tr w:rsidR="0000655B" w:rsidTr="00FC1524">
        <w:trPr>
          <w:trHeight w:val="293"/>
        </w:trPr>
        <w:tc>
          <w:tcPr>
            <w:tcW w:w="9242" w:type="dxa"/>
            <w:gridSpan w:val="2"/>
          </w:tcPr>
          <w:p w:rsidR="0000655B" w:rsidRPr="00765F88" w:rsidRDefault="0000655B" w:rsidP="00FC1524">
            <w:pPr>
              <w:rPr>
                <w:b/>
              </w:rPr>
            </w:pPr>
            <w:r w:rsidRPr="00765F88">
              <w:rPr>
                <w:b/>
              </w:rPr>
              <w:t>The Partnership’s key achievements in the last year</w:t>
            </w:r>
          </w:p>
        </w:tc>
      </w:tr>
      <w:tr w:rsidR="0000655B" w:rsidTr="00FC1524">
        <w:tc>
          <w:tcPr>
            <w:tcW w:w="9242" w:type="dxa"/>
            <w:gridSpan w:val="2"/>
          </w:tcPr>
          <w:p w:rsidR="0000655B" w:rsidRDefault="0000655B" w:rsidP="00FC1524"/>
          <w:p w:rsidR="0000655B" w:rsidRPr="0024245E" w:rsidRDefault="0000655B" w:rsidP="00FC1524">
            <w:pPr>
              <w:rPr>
                <w:b/>
                <w:u w:val="thick"/>
              </w:rPr>
            </w:pPr>
            <w:r w:rsidRPr="0024245E">
              <w:rPr>
                <w:b/>
                <w:u w:val="thick"/>
              </w:rPr>
              <w:t>Oxfordshire Environment Partnership</w:t>
            </w:r>
            <w:r>
              <w:rPr>
                <w:b/>
                <w:u w:val="thick"/>
              </w:rPr>
              <w:t xml:space="preserve"> highlights</w:t>
            </w:r>
            <w:r w:rsidRPr="0024245E">
              <w:rPr>
                <w:b/>
                <w:u w:val="thick"/>
              </w:rPr>
              <w:t>:</w:t>
            </w:r>
          </w:p>
          <w:p w:rsidR="0000655B" w:rsidRPr="00587EBF" w:rsidRDefault="0000655B" w:rsidP="00FC1524"/>
          <w:p w:rsidR="00D358DC" w:rsidRPr="00587EBF" w:rsidRDefault="0000655B" w:rsidP="00FD3E19">
            <w:pPr>
              <w:pStyle w:val="NormalWeb"/>
              <w:numPr>
                <w:ilvl w:val="0"/>
                <w:numId w:val="10"/>
              </w:numPr>
              <w:spacing w:before="0" w:beforeAutospacing="0" w:after="0" w:afterAutospacing="0" w:line="240" w:lineRule="auto"/>
              <w:rPr>
                <w:rFonts w:ascii="Arial" w:eastAsiaTheme="minorHAnsi" w:hAnsi="Arial" w:cs="Arial"/>
                <w:sz w:val="24"/>
                <w:szCs w:val="24"/>
                <w:lang w:eastAsia="en-US"/>
              </w:rPr>
            </w:pPr>
            <w:r w:rsidRPr="00587EBF">
              <w:rPr>
                <w:rFonts w:ascii="Arial" w:hAnsi="Arial" w:cs="Arial"/>
                <w:b/>
                <w:sz w:val="24"/>
                <w:szCs w:val="24"/>
              </w:rPr>
              <w:t xml:space="preserve">Oxfutures:   </w:t>
            </w:r>
            <w:r w:rsidRPr="00587EBF">
              <w:rPr>
                <w:rFonts w:ascii="Arial" w:hAnsi="Arial" w:cs="Arial"/>
                <w:sz w:val="24"/>
                <w:szCs w:val="24"/>
              </w:rPr>
              <w:t>O</w:t>
            </w:r>
            <w:r w:rsidRPr="00587EBF">
              <w:rPr>
                <w:rFonts w:ascii="Arial" w:eastAsiaTheme="minorHAnsi" w:hAnsi="Arial" w:cs="Arial"/>
                <w:sz w:val="24"/>
                <w:szCs w:val="24"/>
                <w:lang w:eastAsia="en-US"/>
              </w:rPr>
              <w:t>xfutures is an ambitious programme to lever £15 million of investment into low energy and energy efficiency projects across Oxfordshire by 2015. The programme has been kickstarted by a grant from Intelligent Energy Europe to Oxford City Council and Oxfordshire County Council.  It is delivered by</w:t>
            </w:r>
            <w:r w:rsidR="00D358DC" w:rsidRPr="00587EBF">
              <w:rPr>
                <w:rFonts w:ascii="Arial" w:eastAsiaTheme="minorHAnsi" w:hAnsi="Arial" w:cs="Arial"/>
                <w:sz w:val="24"/>
                <w:szCs w:val="24"/>
                <w:lang w:eastAsia="en-US"/>
              </w:rPr>
              <w:t xml:space="preserve"> the </w:t>
            </w:r>
            <w:r w:rsidRPr="00587EBF">
              <w:rPr>
                <w:rFonts w:ascii="Arial" w:eastAsiaTheme="minorHAnsi" w:hAnsi="Arial" w:cs="Arial"/>
                <w:sz w:val="24"/>
                <w:szCs w:val="24"/>
                <w:lang w:eastAsia="en-US"/>
              </w:rPr>
              <w:t>Low Carbon Hub.</w:t>
            </w:r>
          </w:p>
          <w:p w:rsidR="00D358DC" w:rsidRPr="00587EBF" w:rsidRDefault="00D358DC" w:rsidP="00FD3E19">
            <w:pPr>
              <w:pStyle w:val="NormalWeb"/>
              <w:spacing w:before="0" w:beforeAutospacing="0" w:after="0" w:afterAutospacing="0" w:line="240" w:lineRule="auto"/>
              <w:ind w:left="720"/>
              <w:rPr>
                <w:rFonts w:ascii="Arial" w:eastAsiaTheme="minorHAnsi" w:hAnsi="Arial" w:cs="Arial"/>
                <w:sz w:val="24"/>
                <w:szCs w:val="24"/>
                <w:lang w:eastAsia="en-US"/>
              </w:rPr>
            </w:pPr>
          </w:p>
          <w:p w:rsidR="00D358DC" w:rsidRPr="00587EBF" w:rsidRDefault="0000655B" w:rsidP="00FD3E19">
            <w:pPr>
              <w:pStyle w:val="NormalWeb"/>
              <w:spacing w:before="0" w:beforeAutospacing="0" w:after="0" w:afterAutospacing="0" w:line="240" w:lineRule="auto"/>
              <w:ind w:left="720"/>
              <w:rPr>
                <w:rFonts w:ascii="Arial" w:eastAsiaTheme="minorHAnsi" w:hAnsi="Arial" w:cs="Arial"/>
                <w:sz w:val="24"/>
                <w:szCs w:val="24"/>
                <w:lang w:eastAsia="en-US"/>
              </w:rPr>
            </w:pPr>
            <w:r w:rsidRPr="00587EBF">
              <w:rPr>
                <w:rFonts w:ascii="Arial" w:eastAsiaTheme="minorHAnsi" w:hAnsi="Arial" w:cs="Arial"/>
                <w:sz w:val="24"/>
                <w:szCs w:val="24"/>
                <w:lang w:eastAsia="en-US"/>
              </w:rPr>
              <w:t>Upwards of 1M</w:t>
            </w:r>
            <w:r w:rsidR="00D358DC" w:rsidRPr="00587EBF">
              <w:rPr>
                <w:rFonts w:ascii="Arial" w:eastAsiaTheme="minorHAnsi" w:hAnsi="Arial" w:cs="Arial"/>
                <w:sz w:val="24"/>
                <w:szCs w:val="24"/>
                <w:lang w:eastAsia="en-US"/>
              </w:rPr>
              <w:t>egawatt</w:t>
            </w:r>
            <w:r w:rsidRPr="00587EBF">
              <w:rPr>
                <w:rFonts w:ascii="Arial" w:eastAsiaTheme="minorHAnsi" w:hAnsi="Arial" w:cs="Arial"/>
                <w:sz w:val="24"/>
                <w:szCs w:val="24"/>
                <w:lang w:eastAsia="en-US"/>
              </w:rPr>
              <w:t xml:space="preserve"> of solar panels will be installed on over 20 primary and secondary schools across the county over the summer and early autumn period.  The panels will generate 875MWh of electricity per year.  In addition the Low Carbon Hub is working with a range of local businesses to install further similar renewable energy schemes. </w:t>
            </w:r>
          </w:p>
          <w:p w:rsidR="00D358DC" w:rsidRPr="00587EBF" w:rsidRDefault="00D358DC" w:rsidP="00FD3E19">
            <w:pPr>
              <w:pStyle w:val="NormalWeb"/>
              <w:spacing w:before="0" w:beforeAutospacing="0" w:after="0" w:afterAutospacing="0" w:line="240" w:lineRule="auto"/>
              <w:ind w:left="720"/>
              <w:rPr>
                <w:rFonts w:ascii="Arial" w:eastAsiaTheme="minorHAnsi" w:hAnsi="Arial" w:cs="Arial"/>
                <w:sz w:val="24"/>
                <w:szCs w:val="24"/>
                <w:lang w:eastAsia="en-US"/>
              </w:rPr>
            </w:pPr>
          </w:p>
          <w:p w:rsidR="00D358DC" w:rsidRPr="00587EBF" w:rsidRDefault="0000655B" w:rsidP="00FD3E19">
            <w:pPr>
              <w:pStyle w:val="NormalWeb"/>
              <w:spacing w:before="0" w:beforeAutospacing="0" w:after="0" w:afterAutospacing="0" w:line="240" w:lineRule="auto"/>
              <w:ind w:left="720"/>
              <w:rPr>
                <w:rFonts w:ascii="Arial" w:eastAsiaTheme="minorHAnsi" w:hAnsi="Arial" w:cs="Arial"/>
                <w:sz w:val="24"/>
                <w:szCs w:val="24"/>
                <w:lang w:eastAsia="en-US"/>
              </w:rPr>
            </w:pPr>
            <w:r w:rsidRPr="00587EBF">
              <w:rPr>
                <w:rFonts w:ascii="Arial" w:eastAsiaTheme="minorHAnsi" w:hAnsi="Arial" w:cs="Arial"/>
                <w:sz w:val="24"/>
                <w:szCs w:val="24"/>
                <w:lang w:eastAsia="en-US"/>
              </w:rPr>
              <w:t xml:space="preserve">Oxford City Council has approved a £2.3m/€2.8m </w:t>
            </w:r>
            <w:r w:rsidR="00480A07">
              <w:rPr>
                <w:rFonts w:ascii="Arial" w:eastAsiaTheme="minorHAnsi" w:hAnsi="Arial" w:cs="Arial"/>
                <w:sz w:val="24"/>
                <w:szCs w:val="24"/>
                <w:lang w:eastAsia="en-US"/>
              </w:rPr>
              <w:t>loan facility</w:t>
            </w:r>
            <w:r w:rsidRPr="00587EBF">
              <w:rPr>
                <w:rFonts w:ascii="Arial" w:eastAsiaTheme="minorHAnsi" w:hAnsi="Arial" w:cs="Arial"/>
                <w:sz w:val="24"/>
                <w:szCs w:val="24"/>
                <w:lang w:eastAsia="en-US"/>
              </w:rPr>
              <w:t xml:space="preserve"> for the OxFutures scheme to allow projects to be constructed before they are offered as a share option to the community through the Low Carbon Hub.</w:t>
            </w:r>
            <w:r w:rsidR="00D358DC" w:rsidRPr="00587EBF">
              <w:rPr>
                <w:rFonts w:ascii="Arial" w:eastAsiaTheme="minorHAnsi" w:hAnsi="Arial" w:cs="Arial"/>
                <w:sz w:val="24"/>
                <w:szCs w:val="24"/>
                <w:lang w:eastAsia="en-US"/>
              </w:rPr>
              <w:t xml:space="preserve"> </w:t>
            </w:r>
          </w:p>
          <w:p w:rsidR="00D358DC" w:rsidRPr="00587EBF" w:rsidRDefault="00D358DC" w:rsidP="00FD3E19">
            <w:pPr>
              <w:pStyle w:val="NormalWeb"/>
              <w:spacing w:before="0" w:beforeAutospacing="0" w:after="0" w:afterAutospacing="0" w:line="240" w:lineRule="auto"/>
              <w:ind w:left="720"/>
              <w:rPr>
                <w:rFonts w:ascii="Arial" w:eastAsiaTheme="minorHAnsi" w:hAnsi="Arial" w:cs="Arial"/>
                <w:sz w:val="24"/>
                <w:szCs w:val="24"/>
                <w:lang w:eastAsia="en-US"/>
              </w:rPr>
            </w:pPr>
          </w:p>
          <w:p w:rsidR="0000655B" w:rsidRPr="00587EBF" w:rsidRDefault="0000655B" w:rsidP="00FD3E19">
            <w:pPr>
              <w:pStyle w:val="NormalWeb"/>
              <w:spacing w:before="0" w:beforeAutospacing="0" w:after="0" w:afterAutospacing="0" w:line="240" w:lineRule="auto"/>
              <w:ind w:left="720"/>
              <w:rPr>
                <w:rFonts w:ascii="Arial" w:eastAsiaTheme="minorHAnsi" w:hAnsi="Arial" w:cs="Arial"/>
                <w:sz w:val="24"/>
                <w:szCs w:val="24"/>
                <w:lang w:eastAsia="en-US"/>
              </w:rPr>
            </w:pPr>
            <w:r w:rsidRPr="00587EBF">
              <w:rPr>
                <w:rFonts w:ascii="Arial" w:eastAsiaTheme="minorHAnsi" w:hAnsi="Arial" w:cs="Arial"/>
                <w:sz w:val="24"/>
                <w:szCs w:val="24"/>
                <w:lang w:eastAsia="en-US"/>
              </w:rPr>
              <w:t xml:space="preserve">The projects delivered this summer will </w:t>
            </w:r>
            <w:r w:rsidR="00D358DC" w:rsidRPr="00587EBF">
              <w:rPr>
                <w:rFonts w:ascii="Arial" w:eastAsiaTheme="minorHAnsi" w:hAnsi="Arial" w:cs="Arial"/>
                <w:sz w:val="24"/>
                <w:szCs w:val="24"/>
                <w:lang w:eastAsia="en-US"/>
              </w:rPr>
              <w:t xml:space="preserve">prevent the emission of </w:t>
            </w:r>
            <w:r w:rsidRPr="00587EBF">
              <w:rPr>
                <w:rFonts w:ascii="Arial" w:eastAsiaTheme="minorHAnsi" w:hAnsi="Arial" w:cs="Arial"/>
                <w:sz w:val="24"/>
                <w:szCs w:val="24"/>
                <w:lang w:eastAsia="en-US"/>
              </w:rPr>
              <w:t>750 tonnes of CO2 per year.  They will provide reduced electricity costs to schools and create an income stream to enable further projects to be developed and supported in future.</w:t>
            </w:r>
          </w:p>
          <w:p w:rsidR="0000655B" w:rsidRDefault="0000655B" w:rsidP="0000655B">
            <w:pPr>
              <w:pStyle w:val="ListParagraph"/>
              <w:numPr>
                <w:ilvl w:val="0"/>
                <w:numId w:val="10"/>
              </w:numPr>
              <w:spacing w:before="100" w:beforeAutospacing="1" w:after="100" w:afterAutospacing="1"/>
              <w:ind w:right="150"/>
              <w:rPr>
                <w:iCs/>
                <w:lang w:eastAsia="en-GB"/>
              </w:rPr>
            </w:pPr>
            <w:r w:rsidRPr="00587EBF">
              <w:rPr>
                <w:b/>
                <w:iCs/>
                <w:lang w:eastAsia="en-GB"/>
              </w:rPr>
              <w:t>Flooding:</w:t>
            </w:r>
            <w:r w:rsidRPr="00587EBF">
              <w:rPr>
                <w:iCs/>
                <w:lang w:eastAsia="en-GB"/>
              </w:rPr>
              <w:t xml:space="preserve">  A draft Local Flood Risk Management Strategy has been</w:t>
            </w:r>
            <w:r w:rsidRPr="00F77D49">
              <w:rPr>
                <w:iCs/>
                <w:lang w:eastAsia="en-GB"/>
              </w:rPr>
              <w:t xml:space="preserve"> produced, which will give a clear vision for how flood risk will be dealt with in Oxfordshire.  This </w:t>
            </w:r>
            <w:r w:rsidR="00D358DC">
              <w:rPr>
                <w:iCs/>
                <w:lang w:eastAsia="en-GB"/>
              </w:rPr>
              <w:t>went</w:t>
            </w:r>
            <w:r w:rsidRPr="00F77D49">
              <w:rPr>
                <w:iCs/>
                <w:lang w:eastAsia="en-GB"/>
              </w:rPr>
              <w:t xml:space="preserve"> out for consultation in July 2014.</w:t>
            </w:r>
          </w:p>
          <w:p w:rsidR="0000655B" w:rsidRPr="00F77D49" w:rsidRDefault="0000655B" w:rsidP="00FC1524">
            <w:pPr>
              <w:pStyle w:val="ListParagraph"/>
              <w:spacing w:before="100" w:beforeAutospacing="1" w:after="100" w:afterAutospacing="1"/>
              <w:ind w:right="150"/>
              <w:rPr>
                <w:iCs/>
                <w:lang w:eastAsia="en-GB"/>
              </w:rPr>
            </w:pPr>
          </w:p>
          <w:p w:rsidR="0000655B" w:rsidRDefault="0000655B" w:rsidP="0000655B">
            <w:pPr>
              <w:pStyle w:val="ListParagraph"/>
              <w:numPr>
                <w:ilvl w:val="0"/>
                <w:numId w:val="10"/>
              </w:numPr>
            </w:pPr>
            <w:r w:rsidRPr="00F77D49">
              <w:rPr>
                <w:b/>
              </w:rPr>
              <w:t>Green Infrastructure</w:t>
            </w:r>
            <w:r>
              <w:rPr>
                <w:b/>
              </w:rPr>
              <w:t xml:space="preserve"> Framework</w:t>
            </w:r>
            <w:r>
              <w:t xml:space="preserve">:  </w:t>
            </w:r>
            <w:r w:rsidRPr="00BB6BAE">
              <w:rPr>
                <w:iCs/>
              </w:rPr>
              <w:t>Dev</w:t>
            </w:r>
            <w:r>
              <w:rPr>
                <w:iCs/>
              </w:rPr>
              <w:t>elopment of this strategic document</w:t>
            </w:r>
            <w:r w:rsidRPr="00BB6BAE">
              <w:rPr>
                <w:iCs/>
              </w:rPr>
              <w:t xml:space="preserve"> was commissioned from a small specialist consultancy, Lepus, and this was presented to the Spatial Planning and Infrastructure P</w:t>
            </w:r>
            <w:r>
              <w:rPr>
                <w:iCs/>
              </w:rPr>
              <w:t>artnership (SPIP) in March 2014.   This will be followed up with</w:t>
            </w:r>
            <w:r w:rsidRPr="0073116F">
              <w:rPr>
                <w:iCs/>
              </w:rPr>
              <w:t xml:space="preserve"> </w:t>
            </w:r>
            <w:r>
              <w:rPr>
                <w:iCs/>
              </w:rPr>
              <w:t>further stakeholder input and review to</w:t>
            </w:r>
            <w:r w:rsidRPr="0073116F">
              <w:rPr>
                <w:iCs/>
              </w:rPr>
              <w:t xml:space="preserve"> take into account the Strategic Economic Plan and challenges presented by the Strategic Housing Market Needs Assessment</w:t>
            </w:r>
          </w:p>
          <w:p w:rsidR="0000655B" w:rsidRPr="0024245E" w:rsidRDefault="0000655B" w:rsidP="00FC1524">
            <w:pPr>
              <w:ind w:left="360"/>
            </w:pPr>
          </w:p>
          <w:p w:rsidR="0000655B" w:rsidRPr="0024245E" w:rsidRDefault="0000655B" w:rsidP="00FC1524">
            <w:pPr>
              <w:rPr>
                <w:b/>
                <w:u w:val="thick"/>
              </w:rPr>
            </w:pPr>
            <w:r w:rsidRPr="0024245E">
              <w:rPr>
                <w:b/>
                <w:u w:val="thick"/>
              </w:rPr>
              <w:t>Oxfordshire Waste Partnership</w:t>
            </w:r>
          </w:p>
          <w:p w:rsidR="0000655B" w:rsidRPr="0024245E" w:rsidRDefault="0000655B" w:rsidP="00FC1524"/>
          <w:p w:rsidR="0000655B" w:rsidRPr="00F77D49" w:rsidRDefault="0000655B" w:rsidP="0000655B">
            <w:pPr>
              <w:pStyle w:val="ListParagraph"/>
              <w:numPr>
                <w:ilvl w:val="0"/>
                <w:numId w:val="9"/>
              </w:numPr>
            </w:pPr>
            <w:r w:rsidRPr="00F77D49">
              <w:t>O</w:t>
            </w:r>
            <w:r w:rsidR="000B3569">
              <w:t>xfordshire</w:t>
            </w:r>
            <w:r w:rsidRPr="00F77D49">
              <w:t xml:space="preserve"> maintained its position as one of the highest recyclers and lowest waste producers in the country in 2013/14 with a recycling rate of 59% and residual waste per household of 425 kg/year.</w:t>
            </w:r>
          </w:p>
          <w:p w:rsidR="0000655B" w:rsidRPr="00F77D49" w:rsidRDefault="0000655B" w:rsidP="00FC1524"/>
          <w:p w:rsidR="0000655B" w:rsidRPr="00F77D49" w:rsidRDefault="0000655B" w:rsidP="0000655B">
            <w:pPr>
              <w:pStyle w:val="ListParagraph"/>
              <w:numPr>
                <w:ilvl w:val="0"/>
                <w:numId w:val="9"/>
              </w:numPr>
            </w:pPr>
            <w:r w:rsidRPr="00F77D49">
              <w:t>In June 2014 commissioning began at Ardley Energy from Waste facility and the first loads of waste were delivered for processing.</w:t>
            </w:r>
          </w:p>
          <w:p w:rsidR="0000655B" w:rsidRPr="00F77D49" w:rsidRDefault="0000655B" w:rsidP="00FC1524">
            <w:pPr>
              <w:pStyle w:val="ListParagraph"/>
            </w:pPr>
          </w:p>
          <w:p w:rsidR="0000655B" w:rsidRPr="00F77D49" w:rsidRDefault="0000655B" w:rsidP="0000655B">
            <w:pPr>
              <w:pStyle w:val="ListParagraph"/>
              <w:numPr>
                <w:ilvl w:val="0"/>
                <w:numId w:val="9"/>
              </w:numPr>
            </w:pPr>
            <w:r w:rsidRPr="00F77D49">
              <w:t>A reuse forum with third sector organisations was established to increase the amount of items donated for reuse and promote the availability of good quality second hand goods.</w:t>
            </w:r>
          </w:p>
          <w:p w:rsidR="0000655B" w:rsidRPr="00F77D49" w:rsidRDefault="0000655B" w:rsidP="00FC1524">
            <w:pPr>
              <w:pStyle w:val="ListParagraph"/>
            </w:pPr>
          </w:p>
          <w:p w:rsidR="0000655B" w:rsidRPr="00F77D49" w:rsidRDefault="0000655B" w:rsidP="0000655B">
            <w:pPr>
              <w:pStyle w:val="ListParagraph"/>
              <w:numPr>
                <w:ilvl w:val="0"/>
                <w:numId w:val="9"/>
              </w:numPr>
            </w:pPr>
            <w:r w:rsidRPr="00F77D49">
              <w:t>Recycling collections for batteries from the kerbside were introduced across the county</w:t>
            </w:r>
            <w:r w:rsidR="004E2226">
              <w:t>.</w:t>
            </w:r>
          </w:p>
          <w:p w:rsidR="0000655B" w:rsidRDefault="0000655B" w:rsidP="00FC1524"/>
        </w:tc>
      </w:tr>
      <w:tr w:rsidR="0000655B" w:rsidTr="00FC1524">
        <w:tc>
          <w:tcPr>
            <w:tcW w:w="9242" w:type="dxa"/>
            <w:gridSpan w:val="2"/>
          </w:tcPr>
          <w:p w:rsidR="0000655B" w:rsidRPr="004B3CEE" w:rsidRDefault="0000655B" w:rsidP="00FC1524">
            <w:pPr>
              <w:rPr>
                <w:b/>
                <w:highlight w:val="yellow"/>
              </w:rPr>
            </w:pPr>
            <w:r w:rsidRPr="00E2298C">
              <w:rPr>
                <w:b/>
              </w:rPr>
              <w:t>The aims for the Partnership in the year ahead</w:t>
            </w:r>
          </w:p>
        </w:tc>
      </w:tr>
      <w:tr w:rsidR="0000655B" w:rsidTr="00FC1524">
        <w:tc>
          <w:tcPr>
            <w:tcW w:w="9242" w:type="dxa"/>
            <w:gridSpan w:val="2"/>
          </w:tcPr>
          <w:p w:rsidR="0000655B" w:rsidRDefault="0000655B" w:rsidP="00FC1524"/>
          <w:p w:rsidR="004E2226" w:rsidRDefault="004E2226" w:rsidP="00FC1524">
            <w:r>
              <w:t xml:space="preserve">In early 2014 Leaders agreed to dissolve the Oxfordshire Waste Partnership, although Councils will continue to work together on issues surrounding the reduction, collection, and disposal of waste. </w:t>
            </w:r>
          </w:p>
          <w:p w:rsidR="004E2226" w:rsidRDefault="004E2226" w:rsidP="00FC1524"/>
          <w:p w:rsidR="0000655B" w:rsidRDefault="0000655B" w:rsidP="00FC1524">
            <w:r>
              <w:t xml:space="preserve">The scheduled meeting of OEP and OWP in June 2014 was cancelled to allow time for existing arrangements </w:t>
            </w:r>
            <w:r w:rsidR="004E2226">
              <w:t>of OWP to be brought to a close, and partnership arrangements which are streamlined and fit for purpose to be developed. These will be proposed in October 2014.</w:t>
            </w:r>
          </w:p>
          <w:p w:rsidR="0000655B" w:rsidRDefault="0000655B" w:rsidP="004E2226"/>
        </w:tc>
      </w:tr>
      <w:tr w:rsidR="0000655B" w:rsidTr="00FC1524">
        <w:tc>
          <w:tcPr>
            <w:tcW w:w="9242" w:type="dxa"/>
            <w:gridSpan w:val="2"/>
          </w:tcPr>
          <w:p w:rsidR="0000655B" w:rsidRPr="00425AB4" w:rsidRDefault="0000655B" w:rsidP="00FC1524">
            <w:pPr>
              <w:rPr>
                <w:b/>
              </w:rPr>
            </w:pPr>
            <w:r w:rsidRPr="00425AB4">
              <w:rPr>
                <w:b/>
              </w:rPr>
              <w:t>The key challenges for the Partnership and how these will be addressed going forward</w:t>
            </w:r>
            <w:r>
              <w:rPr>
                <w:b/>
              </w:rPr>
              <w:t>.</w:t>
            </w:r>
          </w:p>
        </w:tc>
      </w:tr>
      <w:tr w:rsidR="0000655B" w:rsidTr="00FC1524">
        <w:trPr>
          <w:trHeight w:val="70"/>
        </w:trPr>
        <w:tc>
          <w:tcPr>
            <w:tcW w:w="9242" w:type="dxa"/>
            <w:gridSpan w:val="2"/>
          </w:tcPr>
          <w:p w:rsidR="004E2226" w:rsidRDefault="004E2226" w:rsidP="004E2226">
            <w:pPr>
              <w:pStyle w:val="ListParagraph"/>
              <w:numPr>
                <w:ilvl w:val="0"/>
                <w:numId w:val="9"/>
              </w:numPr>
            </w:pPr>
            <w:r>
              <w:t>Developing appropriate arrangements to maintain joint working on waste without formal partnership structures.</w:t>
            </w:r>
          </w:p>
          <w:p w:rsidR="004E2226" w:rsidRDefault="004E2226" w:rsidP="00FC1524">
            <w:pPr>
              <w:pStyle w:val="ListParagraph"/>
              <w:numPr>
                <w:ilvl w:val="0"/>
                <w:numId w:val="9"/>
              </w:numPr>
            </w:pPr>
            <w:r>
              <w:t>Identifying</w:t>
            </w:r>
            <w:r w:rsidR="0000655B">
              <w:t xml:space="preserve"> the scope of work sitting under OEP</w:t>
            </w:r>
            <w:r>
              <w:t xml:space="preserve"> and ensuring participation from the correct groups of officers and members.</w:t>
            </w:r>
          </w:p>
          <w:p w:rsidR="0000655B" w:rsidRDefault="0000655B" w:rsidP="004E2226"/>
        </w:tc>
      </w:tr>
    </w:tbl>
    <w:p w:rsidR="000B3569" w:rsidRDefault="000B3569">
      <w:r>
        <w:br w:type="page"/>
      </w:r>
    </w:p>
    <w:tbl>
      <w:tblPr>
        <w:tblStyle w:val="TableGrid"/>
        <w:tblW w:w="0" w:type="auto"/>
        <w:tblLook w:val="04A0" w:firstRow="1" w:lastRow="0" w:firstColumn="1" w:lastColumn="0" w:noHBand="0" w:noVBand="1"/>
      </w:tblPr>
      <w:tblGrid>
        <w:gridCol w:w="3369"/>
        <w:gridCol w:w="5873"/>
      </w:tblGrid>
      <w:tr w:rsidR="0000655B" w:rsidTr="00FC1524">
        <w:tc>
          <w:tcPr>
            <w:tcW w:w="3369" w:type="dxa"/>
          </w:tcPr>
          <w:p w:rsidR="0000655B" w:rsidRPr="00A82CC1" w:rsidRDefault="0000655B" w:rsidP="00FC1524">
            <w:pPr>
              <w:rPr>
                <w:b/>
              </w:rPr>
            </w:pPr>
            <w:r w:rsidRPr="00A82CC1">
              <w:rPr>
                <w:b/>
              </w:rPr>
              <w:t xml:space="preserve">Partnership Name </w:t>
            </w:r>
          </w:p>
        </w:tc>
        <w:tc>
          <w:tcPr>
            <w:tcW w:w="5873" w:type="dxa"/>
          </w:tcPr>
          <w:p w:rsidR="0000655B" w:rsidRPr="00A63A5C" w:rsidRDefault="0000655B" w:rsidP="00FC1524">
            <w:pPr>
              <w:rPr>
                <w:b/>
              </w:rPr>
            </w:pPr>
            <w:r>
              <w:rPr>
                <w:b/>
              </w:rPr>
              <w:t>Health and Wellbeing Board</w:t>
            </w:r>
          </w:p>
        </w:tc>
      </w:tr>
      <w:tr w:rsidR="0000655B" w:rsidTr="00FC1524">
        <w:trPr>
          <w:trHeight w:val="217"/>
        </w:trPr>
        <w:tc>
          <w:tcPr>
            <w:tcW w:w="3369" w:type="dxa"/>
          </w:tcPr>
          <w:p w:rsidR="0000655B" w:rsidRPr="00A82CC1" w:rsidRDefault="0000655B" w:rsidP="00FC1524">
            <w:pPr>
              <w:rPr>
                <w:b/>
              </w:rPr>
            </w:pPr>
            <w:r w:rsidRPr="00A82CC1">
              <w:rPr>
                <w:b/>
              </w:rPr>
              <w:t xml:space="preserve">Date of completion </w:t>
            </w:r>
          </w:p>
        </w:tc>
        <w:tc>
          <w:tcPr>
            <w:tcW w:w="5873" w:type="dxa"/>
          </w:tcPr>
          <w:p w:rsidR="0000655B" w:rsidRPr="004E1CB1" w:rsidRDefault="0000655B" w:rsidP="00EE38F7">
            <w:r w:rsidRPr="004E1CB1">
              <w:t>24</w:t>
            </w:r>
            <w:r w:rsidR="00EE38F7" w:rsidRPr="00EE38F7">
              <w:rPr>
                <w:vertAlign w:val="superscript"/>
              </w:rPr>
              <w:t>th</w:t>
            </w:r>
            <w:r w:rsidR="00EE38F7">
              <w:t xml:space="preserve"> </w:t>
            </w:r>
            <w:r w:rsidRPr="004E1CB1">
              <w:t>July 2014</w:t>
            </w:r>
            <w:r w:rsidR="00212523">
              <w:t xml:space="preserve"> </w:t>
            </w:r>
            <w:r w:rsidR="00212523" w:rsidRPr="00212523">
              <w:rPr>
                <w:i/>
                <w:sz w:val="20"/>
                <w:szCs w:val="20"/>
              </w:rPr>
              <w:t>(updated</w:t>
            </w:r>
            <w:r w:rsidR="00212523">
              <w:rPr>
                <w:i/>
                <w:sz w:val="20"/>
                <w:szCs w:val="20"/>
              </w:rPr>
              <w:t xml:space="preserve"> 18</w:t>
            </w:r>
            <w:r w:rsidR="00212523" w:rsidRPr="00212523">
              <w:rPr>
                <w:i/>
                <w:sz w:val="20"/>
                <w:szCs w:val="20"/>
                <w:vertAlign w:val="superscript"/>
              </w:rPr>
              <w:t>th</w:t>
            </w:r>
            <w:r w:rsidR="00212523" w:rsidRPr="00212523">
              <w:rPr>
                <w:i/>
                <w:sz w:val="20"/>
                <w:szCs w:val="20"/>
              </w:rPr>
              <w:t xml:space="preserve"> September 2014)</w:t>
            </w:r>
          </w:p>
        </w:tc>
      </w:tr>
      <w:tr w:rsidR="0000655B" w:rsidTr="00FC1524">
        <w:tc>
          <w:tcPr>
            <w:tcW w:w="3369" w:type="dxa"/>
          </w:tcPr>
          <w:p w:rsidR="0000655B" w:rsidRPr="00A82CC1" w:rsidRDefault="0000655B" w:rsidP="00FC1524">
            <w:pPr>
              <w:rPr>
                <w:b/>
              </w:rPr>
            </w:pPr>
            <w:r w:rsidRPr="00A82CC1">
              <w:rPr>
                <w:b/>
              </w:rPr>
              <w:t xml:space="preserve">Chairman </w:t>
            </w:r>
          </w:p>
        </w:tc>
        <w:tc>
          <w:tcPr>
            <w:tcW w:w="5873" w:type="dxa"/>
          </w:tcPr>
          <w:p w:rsidR="0000655B" w:rsidRPr="004E1CB1" w:rsidRDefault="0000655B" w:rsidP="00FC1524">
            <w:r w:rsidRPr="004E1CB1">
              <w:t>Cllr Ian Hudspeth</w:t>
            </w:r>
          </w:p>
        </w:tc>
      </w:tr>
      <w:tr w:rsidR="0000655B" w:rsidTr="00FC1524">
        <w:tc>
          <w:tcPr>
            <w:tcW w:w="3369" w:type="dxa"/>
          </w:tcPr>
          <w:p w:rsidR="0000655B" w:rsidRDefault="0000655B" w:rsidP="00FC1524">
            <w:pPr>
              <w:rPr>
                <w:b/>
              </w:rPr>
            </w:pPr>
            <w:r>
              <w:rPr>
                <w:b/>
              </w:rPr>
              <w:t>OCC Lead Member</w:t>
            </w:r>
          </w:p>
        </w:tc>
        <w:tc>
          <w:tcPr>
            <w:tcW w:w="5873" w:type="dxa"/>
          </w:tcPr>
          <w:p w:rsidR="0000655B" w:rsidRPr="004E1CB1" w:rsidRDefault="0000655B" w:rsidP="00FC1524">
            <w:r w:rsidRPr="004E1CB1">
              <w:t>Cllr Ian Hudspeth</w:t>
            </w:r>
          </w:p>
        </w:tc>
      </w:tr>
      <w:tr w:rsidR="0000655B" w:rsidTr="00FC1524">
        <w:tc>
          <w:tcPr>
            <w:tcW w:w="3369" w:type="dxa"/>
          </w:tcPr>
          <w:p w:rsidR="0000655B" w:rsidRPr="00B9555A" w:rsidRDefault="0000655B" w:rsidP="00FC1524">
            <w:pPr>
              <w:rPr>
                <w:b/>
              </w:rPr>
            </w:pPr>
            <w:r>
              <w:rPr>
                <w:b/>
              </w:rPr>
              <w:t>OCC Lead Officer</w:t>
            </w:r>
          </w:p>
        </w:tc>
        <w:tc>
          <w:tcPr>
            <w:tcW w:w="5873" w:type="dxa"/>
          </w:tcPr>
          <w:p w:rsidR="0000655B" w:rsidRPr="004E1CB1" w:rsidRDefault="0000655B" w:rsidP="00FC1524">
            <w:r w:rsidRPr="004E1CB1">
              <w:t>Jonathan McWilliam</w:t>
            </w:r>
          </w:p>
        </w:tc>
      </w:tr>
      <w:tr w:rsidR="0000655B" w:rsidTr="00FC1524">
        <w:tc>
          <w:tcPr>
            <w:tcW w:w="3369" w:type="dxa"/>
          </w:tcPr>
          <w:p w:rsidR="0000655B" w:rsidRPr="00B9555A" w:rsidRDefault="0000655B" w:rsidP="00FC1524">
            <w:pPr>
              <w:rPr>
                <w:b/>
              </w:rPr>
            </w:pPr>
            <w:r w:rsidRPr="00B9555A">
              <w:rPr>
                <w:b/>
              </w:rPr>
              <w:t>Last Meeting Date</w:t>
            </w:r>
          </w:p>
        </w:tc>
        <w:tc>
          <w:tcPr>
            <w:tcW w:w="5873" w:type="dxa"/>
          </w:tcPr>
          <w:p w:rsidR="0000655B" w:rsidRPr="004E1CB1" w:rsidRDefault="0000655B" w:rsidP="00EE38F7">
            <w:r w:rsidRPr="004E1CB1">
              <w:t>17</w:t>
            </w:r>
            <w:r w:rsidR="00EE38F7" w:rsidRPr="00EE38F7">
              <w:rPr>
                <w:vertAlign w:val="superscript"/>
              </w:rPr>
              <w:t>th</w:t>
            </w:r>
            <w:r w:rsidR="00EE38F7">
              <w:t xml:space="preserve"> </w:t>
            </w:r>
            <w:r w:rsidRPr="004E1CB1">
              <w:t>July 2014</w:t>
            </w:r>
          </w:p>
        </w:tc>
      </w:tr>
      <w:tr w:rsidR="0000655B" w:rsidTr="00FC1524">
        <w:tc>
          <w:tcPr>
            <w:tcW w:w="3369" w:type="dxa"/>
          </w:tcPr>
          <w:p w:rsidR="0000655B" w:rsidRPr="00B9555A" w:rsidRDefault="0000655B" w:rsidP="00FC1524">
            <w:pPr>
              <w:rPr>
                <w:b/>
              </w:rPr>
            </w:pPr>
            <w:r w:rsidRPr="00B9555A">
              <w:rPr>
                <w:b/>
              </w:rPr>
              <w:t>Next Meeting Date</w:t>
            </w:r>
          </w:p>
        </w:tc>
        <w:tc>
          <w:tcPr>
            <w:tcW w:w="5873" w:type="dxa"/>
          </w:tcPr>
          <w:p w:rsidR="0000655B" w:rsidRPr="004E1CB1" w:rsidRDefault="0000655B" w:rsidP="00EE38F7">
            <w:r w:rsidRPr="004E1CB1">
              <w:t>13</w:t>
            </w:r>
            <w:r w:rsidR="00EE38F7" w:rsidRPr="00EE38F7">
              <w:rPr>
                <w:vertAlign w:val="superscript"/>
              </w:rPr>
              <w:t>th</w:t>
            </w:r>
            <w:r w:rsidR="00EE38F7">
              <w:t xml:space="preserve"> </w:t>
            </w:r>
            <w:r w:rsidRPr="004E1CB1">
              <w:t>November 2014</w:t>
            </w:r>
          </w:p>
        </w:tc>
      </w:tr>
      <w:tr w:rsidR="0000655B" w:rsidTr="00FC1524">
        <w:tc>
          <w:tcPr>
            <w:tcW w:w="3369" w:type="dxa"/>
          </w:tcPr>
          <w:p w:rsidR="0000655B" w:rsidRPr="00B9555A" w:rsidRDefault="0000655B" w:rsidP="00FC1524">
            <w:pPr>
              <w:rPr>
                <w:b/>
              </w:rPr>
            </w:pPr>
            <w:r w:rsidRPr="00B9555A">
              <w:rPr>
                <w:b/>
              </w:rPr>
              <w:t>Website</w:t>
            </w:r>
            <w:r>
              <w:rPr>
                <w:b/>
              </w:rPr>
              <w:t xml:space="preserve"> Address</w:t>
            </w:r>
          </w:p>
        </w:tc>
        <w:tc>
          <w:tcPr>
            <w:tcW w:w="5873" w:type="dxa"/>
          </w:tcPr>
          <w:p w:rsidR="0000655B" w:rsidRPr="004E1CB1" w:rsidRDefault="00493322" w:rsidP="00FC1524">
            <w:hyperlink r:id="rId11" w:history="1">
              <w:r w:rsidR="0000655B" w:rsidRPr="004E1CB1">
                <w:rPr>
                  <w:rStyle w:val="Hyperlink"/>
                </w:rPr>
                <w:t>https://www.oxfordshire.gov.uk/cms/public-site/health-and-wellbeing-board</w:t>
              </w:r>
            </w:hyperlink>
            <w:r w:rsidR="0000655B" w:rsidRPr="004E1CB1">
              <w:t xml:space="preserve"> </w:t>
            </w:r>
          </w:p>
        </w:tc>
      </w:tr>
      <w:tr w:rsidR="0000655B" w:rsidTr="00FC1524">
        <w:tc>
          <w:tcPr>
            <w:tcW w:w="3369" w:type="dxa"/>
          </w:tcPr>
          <w:p w:rsidR="0000655B" w:rsidRPr="00B9555A" w:rsidRDefault="0000655B" w:rsidP="00FC1524">
            <w:pPr>
              <w:rPr>
                <w:b/>
              </w:rPr>
            </w:pPr>
            <w:r>
              <w:rPr>
                <w:b/>
              </w:rPr>
              <w:t>Governance Arrangements</w:t>
            </w:r>
          </w:p>
        </w:tc>
        <w:tc>
          <w:tcPr>
            <w:tcW w:w="5873" w:type="dxa"/>
          </w:tcPr>
          <w:p w:rsidR="0000655B" w:rsidRPr="004E1CB1" w:rsidRDefault="0000655B">
            <w:r w:rsidRPr="004E1CB1">
              <w:t>The H</w:t>
            </w:r>
            <w:r w:rsidR="006F13B2">
              <w:t xml:space="preserve">ealth and </w:t>
            </w:r>
            <w:r w:rsidRPr="004E1CB1">
              <w:t>W</w:t>
            </w:r>
            <w:r w:rsidR="006F13B2">
              <w:t xml:space="preserve">ellbeing </w:t>
            </w:r>
            <w:r w:rsidRPr="004E1CB1">
              <w:t>B</w:t>
            </w:r>
            <w:r w:rsidR="006F13B2">
              <w:t xml:space="preserve">oard (HWB) </w:t>
            </w:r>
            <w:r w:rsidRPr="004E1CB1">
              <w:t xml:space="preserve">members include local GPs, senior Councillors, the new </w:t>
            </w:r>
            <w:hyperlink r:id="rId12" w:tgtFrame="_blank" w:history="1">
              <w:r w:rsidRPr="004E1CB1">
                <w:t>Healthwatch Oxfordshire</w:t>
              </w:r>
            </w:hyperlink>
            <w:r w:rsidRPr="004E1CB1">
              <w:t xml:space="preserve"> and senior officers from Local Government. Three Partnership Boards and a </w:t>
            </w:r>
            <w:hyperlink r:id="rId13" w:tgtFrame="_blank" w:history="1">
              <w:r w:rsidRPr="004E1CB1">
                <w:t xml:space="preserve">Public Involvement Network </w:t>
              </w:r>
            </w:hyperlink>
            <w:r w:rsidRPr="004E1CB1">
              <w:t xml:space="preserve"> report into it. The HWB</w:t>
            </w:r>
            <w:r w:rsidR="006F13B2">
              <w:t xml:space="preserve"> </w:t>
            </w:r>
            <w:r w:rsidRPr="004E1CB1">
              <w:t xml:space="preserve"> meets in public three times a year. Each of the three Partnership Boards does the same.  </w:t>
            </w:r>
          </w:p>
        </w:tc>
      </w:tr>
      <w:tr w:rsidR="0000655B" w:rsidTr="00FC1524">
        <w:tc>
          <w:tcPr>
            <w:tcW w:w="9242" w:type="dxa"/>
            <w:gridSpan w:val="2"/>
          </w:tcPr>
          <w:p w:rsidR="0000655B" w:rsidRPr="00765F88" w:rsidRDefault="0000655B" w:rsidP="00FC1524">
            <w:pPr>
              <w:rPr>
                <w:b/>
              </w:rPr>
            </w:pPr>
            <w:r w:rsidRPr="00765F88">
              <w:rPr>
                <w:b/>
              </w:rPr>
              <w:t>The current focus for the Partnership</w:t>
            </w:r>
          </w:p>
        </w:tc>
      </w:tr>
      <w:tr w:rsidR="0000655B" w:rsidTr="00FC1524">
        <w:tc>
          <w:tcPr>
            <w:tcW w:w="9242" w:type="dxa"/>
            <w:gridSpan w:val="2"/>
          </w:tcPr>
          <w:p w:rsidR="0000655B" w:rsidRDefault="0000655B" w:rsidP="00FC1524">
            <w:r>
              <w:t>The primary objective of the Health and Wellbeing Board is to ensure that we work together to improve everyone’s health and wellbeing, especially those who have health problems or are in difficult circumstances. To achieve this, the board provides strategic leadership for health and wellbeing across the county and will ensure that plans are in place and action is taken to realise those plans.</w:t>
            </w:r>
          </w:p>
          <w:p w:rsidR="0000655B" w:rsidRDefault="0000655B" w:rsidP="00FC1524"/>
          <w:p w:rsidR="0000655B" w:rsidRDefault="0000655B" w:rsidP="00FC1524">
            <w:r>
              <w:t xml:space="preserve">The priorities and outcomes for the Health and Wellbeing Board are set out in the Joint Health and Wellbeing Strategy 2012-2016. This is based on evidence of the needs of the county through the Joint Strategic Needs Assessment, and is refreshed on an annual basis to reflect identified needs, consultation with key stakeholders, and the successes and learning from 12 months of implementing the strategy. </w:t>
            </w:r>
          </w:p>
          <w:p w:rsidR="0000655B" w:rsidRDefault="0000655B" w:rsidP="00FC1524"/>
          <w:p w:rsidR="0000655B" w:rsidRDefault="0000655B" w:rsidP="00FC1524">
            <w:r>
              <w:t xml:space="preserve">This has confirmed the original 11 priorities, and an </w:t>
            </w:r>
            <w:r w:rsidR="006F13B2">
              <w:t>on-going</w:t>
            </w:r>
            <w:r>
              <w:t xml:space="preserve"> focus on ensuring quality in health and social care. </w:t>
            </w:r>
          </w:p>
          <w:p w:rsidR="0000655B" w:rsidRDefault="0000655B" w:rsidP="00FC1524"/>
          <w:p w:rsidR="0000655B" w:rsidRDefault="0000655B" w:rsidP="00FC1524">
            <w:r>
              <w:t>The priorities are:</w:t>
            </w:r>
          </w:p>
          <w:p w:rsidR="0000655B" w:rsidRDefault="0000655B" w:rsidP="00FC1524"/>
          <w:p w:rsidR="0000655B" w:rsidRPr="00792C7F" w:rsidRDefault="0000655B" w:rsidP="00FC1524">
            <w:pPr>
              <w:rPr>
                <w:b/>
              </w:rPr>
            </w:pPr>
            <w:r w:rsidRPr="00792C7F">
              <w:rPr>
                <w:b/>
              </w:rPr>
              <w:t>Children and young people</w:t>
            </w:r>
          </w:p>
          <w:p w:rsidR="0000655B" w:rsidRPr="00792C7F" w:rsidRDefault="0000655B" w:rsidP="0000655B">
            <w:pPr>
              <w:pStyle w:val="ListParagraph"/>
              <w:numPr>
                <w:ilvl w:val="0"/>
                <w:numId w:val="11"/>
              </w:numPr>
            </w:pPr>
            <w:r w:rsidRPr="00792C7F">
              <w:t>Priority 1: all children have a healthy start in life and stay healthy into adulthood.</w:t>
            </w:r>
          </w:p>
          <w:p w:rsidR="0000655B" w:rsidRPr="00792C7F" w:rsidRDefault="0000655B" w:rsidP="0000655B">
            <w:pPr>
              <w:pStyle w:val="ListParagraph"/>
              <w:numPr>
                <w:ilvl w:val="0"/>
                <w:numId w:val="11"/>
              </w:numPr>
            </w:pPr>
            <w:r w:rsidRPr="00792C7F">
              <w:t>Priority 2: narrowing the gap for our most disadvantaged and vulnerable groups.</w:t>
            </w:r>
          </w:p>
          <w:p w:rsidR="0000655B" w:rsidRPr="00792C7F" w:rsidRDefault="0000655B" w:rsidP="0000655B">
            <w:pPr>
              <w:pStyle w:val="ListParagraph"/>
              <w:numPr>
                <w:ilvl w:val="0"/>
                <w:numId w:val="11"/>
              </w:numPr>
            </w:pPr>
            <w:r w:rsidRPr="00792C7F">
              <w:t>Priority 3: keeping all children and young people safer.</w:t>
            </w:r>
          </w:p>
          <w:p w:rsidR="0000655B" w:rsidRPr="00792C7F" w:rsidRDefault="0000655B" w:rsidP="0000655B">
            <w:pPr>
              <w:pStyle w:val="ListParagraph"/>
              <w:numPr>
                <w:ilvl w:val="0"/>
                <w:numId w:val="11"/>
              </w:numPr>
            </w:pPr>
            <w:r w:rsidRPr="00792C7F">
              <w:t>Priority 4: raising achievement for all children and young people.</w:t>
            </w:r>
          </w:p>
          <w:p w:rsidR="0000655B" w:rsidRDefault="0000655B" w:rsidP="00FC1524"/>
          <w:p w:rsidR="0000655B" w:rsidRPr="00792C7F" w:rsidRDefault="0000655B" w:rsidP="00FC1524">
            <w:pPr>
              <w:rPr>
                <w:b/>
              </w:rPr>
            </w:pPr>
            <w:r w:rsidRPr="00792C7F">
              <w:rPr>
                <w:b/>
              </w:rPr>
              <w:t>Adult health and social care</w:t>
            </w:r>
          </w:p>
          <w:p w:rsidR="0000655B" w:rsidRPr="00792C7F" w:rsidRDefault="0000655B" w:rsidP="0000655B">
            <w:pPr>
              <w:pStyle w:val="ListParagraph"/>
              <w:numPr>
                <w:ilvl w:val="0"/>
                <w:numId w:val="12"/>
              </w:numPr>
            </w:pPr>
            <w:r w:rsidRPr="00792C7F">
              <w:t>Priority 5: living and working well: adults with long term conditions, physical or learning disability or mental health problems living independently and achieving their full potential.</w:t>
            </w:r>
          </w:p>
          <w:p w:rsidR="0000655B" w:rsidRPr="00792C7F" w:rsidRDefault="0000655B" w:rsidP="0000655B">
            <w:pPr>
              <w:pStyle w:val="ListParagraph"/>
              <w:numPr>
                <w:ilvl w:val="0"/>
                <w:numId w:val="12"/>
              </w:numPr>
            </w:pPr>
            <w:r w:rsidRPr="00792C7F">
              <w:t>Priority 6: support older people to live independently with dignity whilst reducing the need for care and support.</w:t>
            </w:r>
          </w:p>
          <w:p w:rsidR="0000655B" w:rsidRPr="00792C7F" w:rsidRDefault="0000655B" w:rsidP="0000655B">
            <w:pPr>
              <w:pStyle w:val="ListParagraph"/>
              <w:numPr>
                <w:ilvl w:val="0"/>
                <w:numId w:val="12"/>
              </w:numPr>
            </w:pPr>
            <w:r w:rsidRPr="00792C7F">
              <w:t>Priority 7: working together to improve quality and value for money in the health and social care system.</w:t>
            </w:r>
          </w:p>
          <w:p w:rsidR="0000655B" w:rsidRDefault="0000655B" w:rsidP="00FC1524"/>
          <w:p w:rsidR="0000655B" w:rsidRPr="00792C7F" w:rsidRDefault="0000655B" w:rsidP="00FC1524">
            <w:pPr>
              <w:rPr>
                <w:b/>
              </w:rPr>
            </w:pPr>
            <w:r w:rsidRPr="00792C7F">
              <w:rPr>
                <w:b/>
              </w:rPr>
              <w:t>Health improvement</w:t>
            </w:r>
          </w:p>
          <w:p w:rsidR="0000655B" w:rsidRPr="00792C7F" w:rsidRDefault="0000655B" w:rsidP="0000655B">
            <w:pPr>
              <w:pStyle w:val="ListParagraph"/>
              <w:numPr>
                <w:ilvl w:val="0"/>
                <w:numId w:val="13"/>
              </w:numPr>
            </w:pPr>
            <w:r w:rsidRPr="00792C7F">
              <w:t>Priority 8: preventing early death and improving quality of life in later years.</w:t>
            </w:r>
          </w:p>
          <w:p w:rsidR="0000655B" w:rsidRPr="00792C7F" w:rsidRDefault="0000655B" w:rsidP="0000655B">
            <w:pPr>
              <w:pStyle w:val="ListParagraph"/>
              <w:numPr>
                <w:ilvl w:val="0"/>
                <w:numId w:val="13"/>
              </w:numPr>
            </w:pPr>
            <w:r w:rsidRPr="00792C7F">
              <w:t>Priority 9: preventing chronic disease through tackling obesity.</w:t>
            </w:r>
          </w:p>
          <w:p w:rsidR="0000655B" w:rsidRPr="00792C7F" w:rsidRDefault="0000655B" w:rsidP="0000655B">
            <w:pPr>
              <w:pStyle w:val="ListParagraph"/>
              <w:numPr>
                <w:ilvl w:val="0"/>
                <w:numId w:val="13"/>
              </w:numPr>
            </w:pPr>
            <w:r w:rsidRPr="00792C7F">
              <w:t>Priority 10: tackling the broader determinants of health through better housing and preventing homelessness.</w:t>
            </w:r>
          </w:p>
          <w:p w:rsidR="0000655B" w:rsidRDefault="0000655B" w:rsidP="0000655B">
            <w:pPr>
              <w:pStyle w:val="ListParagraph"/>
              <w:numPr>
                <w:ilvl w:val="0"/>
                <w:numId w:val="13"/>
              </w:numPr>
            </w:pPr>
            <w:r w:rsidRPr="00792C7F">
              <w:t>Priority 11: preventing infectious disease through immunisation.</w:t>
            </w:r>
          </w:p>
          <w:p w:rsidR="0000655B" w:rsidRPr="004D7A64" w:rsidRDefault="0000655B" w:rsidP="00FC1524">
            <w:pPr>
              <w:pStyle w:val="ListParagraph"/>
            </w:pPr>
          </w:p>
        </w:tc>
      </w:tr>
      <w:tr w:rsidR="0000655B" w:rsidTr="00FC1524">
        <w:trPr>
          <w:trHeight w:val="293"/>
        </w:trPr>
        <w:tc>
          <w:tcPr>
            <w:tcW w:w="9242" w:type="dxa"/>
            <w:gridSpan w:val="2"/>
          </w:tcPr>
          <w:p w:rsidR="0000655B" w:rsidRPr="00765F88" w:rsidRDefault="0000655B" w:rsidP="00FC1524">
            <w:pPr>
              <w:rPr>
                <w:b/>
              </w:rPr>
            </w:pPr>
            <w:r w:rsidRPr="00765F88">
              <w:rPr>
                <w:b/>
              </w:rPr>
              <w:t>The Partnership’s key achievements in the last year</w:t>
            </w:r>
          </w:p>
        </w:tc>
      </w:tr>
      <w:tr w:rsidR="0000655B" w:rsidTr="00FC1524">
        <w:tc>
          <w:tcPr>
            <w:tcW w:w="9242" w:type="dxa"/>
            <w:gridSpan w:val="2"/>
          </w:tcPr>
          <w:p w:rsidR="00EB42C2" w:rsidRDefault="00EB42C2" w:rsidP="00FE4B3F">
            <w:pPr>
              <w:ind w:left="142"/>
              <w:contextualSpacing/>
              <w:rPr>
                <w:color w:val="000000"/>
              </w:rPr>
            </w:pPr>
            <w:r>
              <w:rPr>
                <w:color w:val="000000"/>
              </w:rPr>
              <w:t>Through the work of the board, its individual member organisations, and other partners, there are a number of positive developments which can be reported over the last year;</w:t>
            </w:r>
          </w:p>
          <w:p w:rsidR="00587EBF" w:rsidRDefault="00587EBF" w:rsidP="00FE4B3F">
            <w:pPr>
              <w:ind w:left="142"/>
              <w:contextualSpacing/>
            </w:pPr>
          </w:p>
          <w:p w:rsidR="0000655B" w:rsidRDefault="0000655B" w:rsidP="00FD3E19">
            <w:pPr>
              <w:numPr>
                <w:ilvl w:val="1"/>
                <w:numId w:val="48"/>
              </w:numPr>
              <w:contextualSpacing/>
            </w:pPr>
            <w:r>
              <w:t>Approximately 95% of children aged 2-2.5 years old received a health visitor review, this was consistently above the 90% target throughout the year</w:t>
            </w:r>
          </w:p>
          <w:p w:rsidR="0000655B" w:rsidRDefault="0000655B" w:rsidP="00FD3E19">
            <w:pPr>
              <w:numPr>
                <w:ilvl w:val="1"/>
                <w:numId w:val="48"/>
              </w:numPr>
              <w:contextualSpacing/>
            </w:pPr>
            <w:r>
              <w:t>The teenage conception rate remained below target throughout the whole year</w:t>
            </w:r>
          </w:p>
          <w:p w:rsidR="0000655B" w:rsidRDefault="0000655B" w:rsidP="00FD3E19">
            <w:pPr>
              <w:numPr>
                <w:ilvl w:val="1"/>
                <w:numId w:val="48"/>
              </w:numPr>
              <w:contextualSpacing/>
            </w:pPr>
            <w:r>
              <w:t>The number of families identified by the Troubled Families programme (830) exceeded the target agreed with the DfE (810). The target for 14/15 is to track and measure outcomes for these families</w:t>
            </w:r>
          </w:p>
          <w:p w:rsidR="0000655B" w:rsidRDefault="0000655B" w:rsidP="00FD3E19">
            <w:pPr>
              <w:numPr>
                <w:ilvl w:val="1"/>
                <w:numId w:val="48"/>
              </w:numPr>
              <w:contextualSpacing/>
            </w:pPr>
            <w:r>
              <w:t>Every children considered likely to be at risk of Child Sexual exploitation has a multi-agency plan in place</w:t>
            </w:r>
          </w:p>
          <w:p w:rsidR="0000655B" w:rsidRDefault="0000655B" w:rsidP="00FD3E19">
            <w:pPr>
              <w:numPr>
                <w:ilvl w:val="1"/>
                <w:numId w:val="48"/>
              </w:numPr>
              <w:contextualSpacing/>
            </w:pPr>
            <w:r>
              <w:t>The proportion of young people achieved at least 5 GCSEs at A*-C grades including in English and maths increased to 61%, the highest performance in recent years</w:t>
            </w:r>
          </w:p>
          <w:p w:rsidR="0000655B" w:rsidRDefault="0000655B" w:rsidP="00FD3E19">
            <w:pPr>
              <w:numPr>
                <w:ilvl w:val="1"/>
                <w:numId w:val="48"/>
              </w:numPr>
              <w:contextualSpacing/>
            </w:pPr>
            <w:r>
              <w:t>The rate of young people not in employment, education or training reduced to 4.7% - this is the lowest it has been for a number of years</w:t>
            </w:r>
          </w:p>
          <w:p w:rsidR="0000655B" w:rsidRDefault="0000655B" w:rsidP="00FD3E19">
            <w:pPr>
              <w:numPr>
                <w:ilvl w:val="1"/>
                <w:numId w:val="48"/>
              </w:numPr>
              <w:contextualSpacing/>
            </w:pPr>
            <w:r>
              <w:t xml:space="preserve">94% of people supported at home </w:t>
            </w:r>
            <w:r w:rsidRPr="00293BEB">
              <w:t>reported that they were treated with dignity in the way they received their care</w:t>
            </w:r>
            <w:r>
              <w:t>, above the 90% target</w:t>
            </w:r>
          </w:p>
          <w:p w:rsidR="0000655B" w:rsidRDefault="0000655B" w:rsidP="00FD3E19">
            <w:pPr>
              <w:numPr>
                <w:ilvl w:val="1"/>
                <w:numId w:val="48"/>
              </w:numPr>
              <w:contextualSpacing/>
            </w:pPr>
            <w:r>
              <w:t xml:space="preserve">84.4% </w:t>
            </w:r>
            <w:r w:rsidRPr="00293BEB">
              <w:t>of older people who use social care who reported that they have adequate social contact or as much social contact as they would like</w:t>
            </w:r>
            <w:r>
              <w:t>, an increase from last year and above the 81.2% target</w:t>
            </w:r>
          </w:p>
          <w:p w:rsidR="0000655B" w:rsidRDefault="0000655B" w:rsidP="00FD3E19">
            <w:pPr>
              <w:numPr>
                <w:ilvl w:val="1"/>
                <w:numId w:val="48"/>
              </w:numPr>
              <w:contextualSpacing/>
            </w:pPr>
            <w:r>
              <w:t>The proportion of people reporting that they were satisfied with support from adult social care, hospital care or GP care was above target (to be above national average) in all cases</w:t>
            </w:r>
          </w:p>
          <w:p w:rsidR="0000655B" w:rsidRDefault="0000655B" w:rsidP="00FD3E19">
            <w:pPr>
              <w:numPr>
                <w:ilvl w:val="1"/>
                <w:numId w:val="48"/>
              </w:numPr>
              <w:contextualSpacing/>
            </w:pPr>
            <w:r>
              <w:t xml:space="preserve">The </w:t>
            </w:r>
            <w:r w:rsidRPr="00251224">
              <w:t xml:space="preserve">number of carers known and supported by adult social care </w:t>
            </w:r>
            <w:r>
              <w:t>increased by over 11</w:t>
            </w:r>
            <w:r w:rsidRPr="00251224">
              <w:t xml:space="preserve">% </w:t>
            </w:r>
          </w:p>
          <w:p w:rsidR="0000655B" w:rsidRDefault="0000655B" w:rsidP="00FD3E19">
            <w:pPr>
              <w:numPr>
                <w:ilvl w:val="1"/>
                <w:numId w:val="48"/>
              </w:numPr>
              <w:contextualSpacing/>
            </w:pPr>
            <w:r>
              <w:t xml:space="preserve">The proportion </w:t>
            </w:r>
            <w:r w:rsidRPr="00251224">
              <w:t xml:space="preserve">of people receiving housing related support </w:t>
            </w:r>
            <w:r>
              <w:t xml:space="preserve">that </w:t>
            </w:r>
            <w:r w:rsidRPr="00251224">
              <w:t>depart</w:t>
            </w:r>
            <w:r>
              <w:t>ed</w:t>
            </w:r>
            <w:r w:rsidRPr="00251224">
              <w:t xml:space="preserve"> services to take up independent living</w:t>
            </w:r>
            <w:r>
              <w:t xml:space="preserve"> was consistently above the target throughout the year</w:t>
            </w:r>
          </w:p>
          <w:p w:rsidR="0000655B" w:rsidRDefault="0000655B" w:rsidP="00FD3E19">
            <w:pPr>
              <w:numPr>
                <w:ilvl w:val="1"/>
                <w:numId w:val="48"/>
              </w:numPr>
              <w:contextualSpacing/>
            </w:pPr>
            <w:r>
              <w:t xml:space="preserve">Over </w:t>
            </w:r>
            <w:r w:rsidRPr="00DA05E2">
              <w:t>95% children receive dose 1 of MMR (measles, mumps, rubella) vaccination by age 2</w:t>
            </w:r>
          </w:p>
          <w:p w:rsidR="0000655B" w:rsidRDefault="0000655B" w:rsidP="00FC1524"/>
        </w:tc>
      </w:tr>
      <w:tr w:rsidR="0000655B" w:rsidTr="00FC1524">
        <w:tc>
          <w:tcPr>
            <w:tcW w:w="9242" w:type="dxa"/>
            <w:gridSpan w:val="2"/>
          </w:tcPr>
          <w:p w:rsidR="0000655B" w:rsidRPr="004B3CEE" w:rsidRDefault="0000655B" w:rsidP="00FC1524">
            <w:pPr>
              <w:rPr>
                <w:b/>
                <w:highlight w:val="yellow"/>
              </w:rPr>
            </w:pPr>
            <w:r w:rsidRPr="00E2298C">
              <w:rPr>
                <w:b/>
              </w:rPr>
              <w:t>The aims for the Partnership in the year ahead</w:t>
            </w:r>
          </w:p>
        </w:tc>
      </w:tr>
      <w:tr w:rsidR="0000655B" w:rsidTr="00FC1524">
        <w:tc>
          <w:tcPr>
            <w:tcW w:w="9242" w:type="dxa"/>
            <w:gridSpan w:val="2"/>
          </w:tcPr>
          <w:p w:rsidR="0000655B" w:rsidRDefault="0000655B" w:rsidP="00FC1524">
            <w:r>
              <w:t xml:space="preserve">The Health and Wellbeing Board agreed its priorities for the year ahead at its meeting on 25 July 2013, when it agreed the refreshed Joint Health and Wellbeing Strategy and new indicators and targets to help address the priorities set out above. </w:t>
            </w:r>
          </w:p>
          <w:p w:rsidR="0000655B" w:rsidRDefault="0000655B" w:rsidP="00FC1524"/>
          <w:p w:rsidR="0000655B" w:rsidRDefault="0000655B" w:rsidP="00FC1524">
            <w:r>
              <w:t>Key themes include:</w:t>
            </w:r>
          </w:p>
          <w:p w:rsidR="00587EBF" w:rsidRDefault="00587EBF" w:rsidP="00FC1524"/>
          <w:p w:rsidR="0000655B" w:rsidRDefault="0000655B" w:rsidP="0000655B">
            <w:pPr>
              <w:pStyle w:val="ListParagraph"/>
              <w:numPr>
                <w:ilvl w:val="0"/>
                <w:numId w:val="13"/>
              </w:numPr>
            </w:pPr>
            <w:r>
              <w:t>Further integration of health and social care</w:t>
            </w:r>
          </w:p>
          <w:p w:rsidR="0000655B" w:rsidRDefault="0000655B" w:rsidP="0000655B">
            <w:pPr>
              <w:pStyle w:val="ListParagraph"/>
              <w:numPr>
                <w:ilvl w:val="0"/>
                <w:numId w:val="13"/>
              </w:numPr>
            </w:pPr>
            <w:r>
              <w:t>Ensuring quality in health and social care</w:t>
            </w:r>
          </w:p>
          <w:p w:rsidR="0000655B" w:rsidRDefault="0000655B" w:rsidP="0000655B">
            <w:pPr>
              <w:pStyle w:val="ListParagraph"/>
              <w:numPr>
                <w:ilvl w:val="0"/>
                <w:numId w:val="13"/>
              </w:numPr>
            </w:pPr>
            <w:r>
              <w:t>Responding to the needs of an increasing number of frail older people</w:t>
            </w:r>
          </w:p>
          <w:p w:rsidR="0000655B" w:rsidRDefault="0000655B" w:rsidP="0000655B">
            <w:pPr>
              <w:pStyle w:val="ListParagraph"/>
              <w:numPr>
                <w:ilvl w:val="0"/>
                <w:numId w:val="13"/>
              </w:numPr>
            </w:pPr>
            <w:r>
              <w:t>Keeping children and young people safe, and improving educational attainment</w:t>
            </w:r>
          </w:p>
          <w:p w:rsidR="0000655B" w:rsidRDefault="0000655B" w:rsidP="0000655B">
            <w:pPr>
              <w:pStyle w:val="ListParagraph"/>
              <w:numPr>
                <w:ilvl w:val="0"/>
                <w:numId w:val="13"/>
              </w:numPr>
            </w:pPr>
            <w:r>
              <w:t>Increasing rates of screening and immunisation</w:t>
            </w:r>
          </w:p>
          <w:p w:rsidR="0000655B" w:rsidRDefault="0000655B" w:rsidP="0000655B">
            <w:pPr>
              <w:pStyle w:val="ListParagraph"/>
              <w:numPr>
                <w:ilvl w:val="0"/>
                <w:numId w:val="13"/>
              </w:numPr>
            </w:pPr>
            <w:r>
              <w:t>t</w:t>
            </w:r>
            <w:r w:rsidRPr="008D429B">
              <w:t xml:space="preserve">ackling health </w:t>
            </w:r>
            <w:r>
              <w:t xml:space="preserve">issues </w:t>
            </w:r>
            <w:r w:rsidRPr="008D429B">
              <w:t xml:space="preserve">through better housing and preventing homelessness </w:t>
            </w:r>
          </w:p>
          <w:p w:rsidR="0000655B" w:rsidRPr="008D429B" w:rsidRDefault="0000655B" w:rsidP="0000655B">
            <w:pPr>
              <w:pStyle w:val="ListParagraph"/>
              <w:numPr>
                <w:ilvl w:val="0"/>
                <w:numId w:val="13"/>
              </w:numPr>
            </w:pPr>
            <w:r>
              <w:t>promoting healthy lifestyles to prevent obesity and increase participation in physical activity</w:t>
            </w:r>
          </w:p>
          <w:p w:rsidR="0000655B" w:rsidRDefault="0000655B" w:rsidP="00FC1524">
            <w:pPr>
              <w:pStyle w:val="ListParagraph"/>
              <w:numPr>
                <w:ilvl w:val="0"/>
                <w:numId w:val="13"/>
              </w:numPr>
            </w:pPr>
            <w:r>
              <w:t>Making sure the resources available across the health and social care sector are used as effectively as possible to improve health and wellbeing.</w:t>
            </w:r>
          </w:p>
          <w:p w:rsidR="0000655B" w:rsidRDefault="0000655B" w:rsidP="00FC1524">
            <w:pPr>
              <w:pStyle w:val="ListParagraph"/>
            </w:pPr>
          </w:p>
        </w:tc>
      </w:tr>
      <w:tr w:rsidR="0000655B" w:rsidTr="00FC1524">
        <w:tc>
          <w:tcPr>
            <w:tcW w:w="9242" w:type="dxa"/>
            <w:gridSpan w:val="2"/>
          </w:tcPr>
          <w:p w:rsidR="0000655B" w:rsidRPr="00425AB4" w:rsidRDefault="0000655B" w:rsidP="00FC1524">
            <w:pPr>
              <w:rPr>
                <w:b/>
              </w:rPr>
            </w:pPr>
            <w:r w:rsidRPr="00425AB4">
              <w:rPr>
                <w:b/>
              </w:rPr>
              <w:t>The key challenges for the Partnership and how these will be addressed going forward</w:t>
            </w:r>
            <w:r>
              <w:rPr>
                <w:b/>
              </w:rPr>
              <w:t>.</w:t>
            </w:r>
          </w:p>
        </w:tc>
      </w:tr>
      <w:tr w:rsidR="0000655B" w:rsidTr="000B3569">
        <w:trPr>
          <w:trHeight w:val="3415"/>
        </w:trPr>
        <w:tc>
          <w:tcPr>
            <w:tcW w:w="9242" w:type="dxa"/>
            <w:gridSpan w:val="2"/>
          </w:tcPr>
          <w:p w:rsidR="000B3569" w:rsidRDefault="000B3569" w:rsidP="000B3569">
            <w:pPr>
              <w:pStyle w:val="ListParagraph"/>
            </w:pPr>
          </w:p>
          <w:p w:rsidR="0000655B" w:rsidRDefault="0000655B" w:rsidP="0000655B">
            <w:pPr>
              <w:pStyle w:val="ListParagraph"/>
              <w:numPr>
                <w:ilvl w:val="0"/>
                <w:numId w:val="14"/>
              </w:numPr>
            </w:pPr>
            <w:r>
              <w:t>Strengthening the role and function of the Children’s Trust, and the relationship with the Oxfordshire Safeguarding Children’s Board</w:t>
            </w:r>
          </w:p>
          <w:p w:rsidR="0000655B" w:rsidRDefault="0000655B" w:rsidP="0000655B">
            <w:pPr>
              <w:pStyle w:val="ListParagraph"/>
              <w:numPr>
                <w:ilvl w:val="0"/>
                <w:numId w:val="14"/>
              </w:numPr>
            </w:pPr>
            <w:r>
              <w:t>Changing the relationship between the Health and Wellbeing Board and the Joint Management Groups that oversee the pooled budgets, and will take responsibility for implementing priorities for adult health and social care following dissolution of the Adult Health and Social Care Board.</w:t>
            </w:r>
          </w:p>
          <w:p w:rsidR="0000655B" w:rsidRDefault="0000655B" w:rsidP="000B3569">
            <w:pPr>
              <w:pStyle w:val="ListParagraph"/>
              <w:numPr>
                <w:ilvl w:val="0"/>
                <w:numId w:val="14"/>
              </w:numPr>
            </w:pPr>
            <w:r>
              <w:t>Addressing poor outcomes by targeting the groups or areas of the county where performance is the worst.  This is being led through the Health Improvement Board where targets have been set to improve the overall average and ensure that the gap between best and worst is narrowed.</w:t>
            </w:r>
          </w:p>
          <w:p w:rsidR="00212523" w:rsidRDefault="00212523" w:rsidP="000B3569">
            <w:pPr>
              <w:pStyle w:val="ListParagraph"/>
              <w:numPr>
                <w:ilvl w:val="0"/>
                <w:numId w:val="14"/>
              </w:numPr>
            </w:pPr>
            <w:r>
              <w:t xml:space="preserve">Overseeing the development and implementation of a new, single strategy for health and social care in Oxfordshire, and the Better Care Fund Plan. </w:t>
            </w:r>
          </w:p>
          <w:p w:rsidR="00212523" w:rsidRDefault="00212523" w:rsidP="00212523">
            <w:pPr>
              <w:pStyle w:val="ListParagraph"/>
            </w:pPr>
          </w:p>
        </w:tc>
      </w:tr>
    </w:tbl>
    <w:p w:rsidR="0000655B" w:rsidRDefault="0000655B" w:rsidP="0000655B"/>
    <w:p w:rsidR="0000655B" w:rsidRDefault="0000655B">
      <w:r>
        <w:br w:type="page"/>
      </w:r>
    </w:p>
    <w:tbl>
      <w:tblPr>
        <w:tblStyle w:val="TableGrid"/>
        <w:tblW w:w="0" w:type="auto"/>
        <w:tblLook w:val="04A0" w:firstRow="1" w:lastRow="0" w:firstColumn="1" w:lastColumn="0" w:noHBand="0" w:noVBand="1"/>
      </w:tblPr>
      <w:tblGrid>
        <w:gridCol w:w="3063"/>
        <w:gridCol w:w="6179"/>
      </w:tblGrid>
      <w:tr w:rsidR="0000655B" w:rsidTr="00FC1524">
        <w:tc>
          <w:tcPr>
            <w:tcW w:w="3085" w:type="dxa"/>
          </w:tcPr>
          <w:p w:rsidR="0000655B" w:rsidRPr="00A82CC1" w:rsidRDefault="0000655B" w:rsidP="00FC1524">
            <w:pPr>
              <w:rPr>
                <w:b/>
              </w:rPr>
            </w:pPr>
            <w:r w:rsidRPr="00A82CC1">
              <w:rPr>
                <w:b/>
              </w:rPr>
              <w:t xml:space="preserve">Partnership Name </w:t>
            </w:r>
          </w:p>
        </w:tc>
        <w:tc>
          <w:tcPr>
            <w:tcW w:w="6157" w:type="dxa"/>
          </w:tcPr>
          <w:p w:rsidR="0000655B" w:rsidRPr="00FE678C" w:rsidRDefault="0000655B" w:rsidP="00FC1524">
            <w:r w:rsidRPr="00FE678C">
              <w:t>Oxfordshire Safer Communities Partnership</w:t>
            </w:r>
          </w:p>
        </w:tc>
      </w:tr>
      <w:tr w:rsidR="0000655B" w:rsidTr="00FC1524">
        <w:trPr>
          <w:trHeight w:val="217"/>
        </w:trPr>
        <w:tc>
          <w:tcPr>
            <w:tcW w:w="3085" w:type="dxa"/>
          </w:tcPr>
          <w:p w:rsidR="0000655B" w:rsidRPr="00A82CC1" w:rsidRDefault="0000655B" w:rsidP="00FC1524">
            <w:pPr>
              <w:rPr>
                <w:b/>
              </w:rPr>
            </w:pPr>
            <w:r w:rsidRPr="00A82CC1">
              <w:rPr>
                <w:b/>
              </w:rPr>
              <w:t xml:space="preserve">Date of completion </w:t>
            </w:r>
          </w:p>
        </w:tc>
        <w:tc>
          <w:tcPr>
            <w:tcW w:w="6157" w:type="dxa"/>
          </w:tcPr>
          <w:p w:rsidR="0000655B" w:rsidRDefault="00EE38F7" w:rsidP="00FC1524">
            <w:r w:rsidRPr="00FE678C">
              <w:t>2</w:t>
            </w:r>
            <w:r>
              <w:t>1</w:t>
            </w:r>
            <w:r w:rsidRPr="00EE38F7">
              <w:rPr>
                <w:vertAlign w:val="superscript"/>
              </w:rPr>
              <w:t>st</w:t>
            </w:r>
            <w:r>
              <w:t xml:space="preserve"> July 2014 </w:t>
            </w:r>
            <w:r w:rsidRPr="00212523">
              <w:rPr>
                <w:i/>
                <w:sz w:val="20"/>
                <w:szCs w:val="20"/>
              </w:rPr>
              <w:t xml:space="preserve">(updated </w:t>
            </w:r>
            <w:r>
              <w:rPr>
                <w:i/>
                <w:sz w:val="20"/>
                <w:szCs w:val="20"/>
              </w:rPr>
              <w:t>23rd</w:t>
            </w:r>
            <w:r w:rsidRPr="00212523">
              <w:rPr>
                <w:i/>
                <w:sz w:val="20"/>
                <w:szCs w:val="20"/>
              </w:rPr>
              <w:t xml:space="preserve"> September 2014)</w:t>
            </w:r>
          </w:p>
        </w:tc>
      </w:tr>
      <w:tr w:rsidR="0000655B" w:rsidTr="00FC1524">
        <w:tc>
          <w:tcPr>
            <w:tcW w:w="3085" w:type="dxa"/>
          </w:tcPr>
          <w:p w:rsidR="0000655B" w:rsidRPr="00A82CC1" w:rsidRDefault="0000655B" w:rsidP="00FC1524">
            <w:pPr>
              <w:rPr>
                <w:b/>
              </w:rPr>
            </w:pPr>
            <w:r w:rsidRPr="00A82CC1">
              <w:rPr>
                <w:b/>
              </w:rPr>
              <w:t xml:space="preserve">Chairman </w:t>
            </w:r>
          </w:p>
        </w:tc>
        <w:tc>
          <w:tcPr>
            <w:tcW w:w="6157" w:type="dxa"/>
          </w:tcPr>
          <w:p w:rsidR="0000655B" w:rsidRDefault="0000655B" w:rsidP="000B3569">
            <w:r>
              <w:t>Cllr Bill Jones (Vale of White Horse District Council)</w:t>
            </w:r>
          </w:p>
        </w:tc>
      </w:tr>
      <w:tr w:rsidR="0000655B" w:rsidTr="00FC1524">
        <w:tc>
          <w:tcPr>
            <w:tcW w:w="3085" w:type="dxa"/>
          </w:tcPr>
          <w:p w:rsidR="0000655B" w:rsidRPr="00B9555A" w:rsidRDefault="0000655B" w:rsidP="00FC1524">
            <w:pPr>
              <w:rPr>
                <w:b/>
              </w:rPr>
            </w:pPr>
            <w:r w:rsidRPr="00B9555A">
              <w:rPr>
                <w:b/>
              </w:rPr>
              <w:t>Last Meeting Date</w:t>
            </w:r>
          </w:p>
        </w:tc>
        <w:tc>
          <w:tcPr>
            <w:tcW w:w="6157" w:type="dxa"/>
          </w:tcPr>
          <w:p w:rsidR="0000655B" w:rsidRPr="00FE678C" w:rsidRDefault="0000655B" w:rsidP="00EE38F7">
            <w:r w:rsidRPr="00FE678C">
              <w:t>2</w:t>
            </w:r>
            <w:r>
              <w:t>1</w:t>
            </w:r>
            <w:r w:rsidR="00EE38F7" w:rsidRPr="00EE38F7">
              <w:rPr>
                <w:vertAlign w:val="superscript"/>
              </w:rPr>
              <w:t>st</w:t>
            </w:r>
            <w:r w:rsidR="00EE38F7">
              <w:t xml:space="preserve"> </w:t>
            </w:r>
            <w:r>
              <w:t>July 2014</w:t>
            </w:r>
            <w:r w:rsidR="00EE38F7">
              <w:t xml:space="preserve"> </w:t>
            </w:r>
          </w:p>
        </w:tc>
      </w:tr>
      <w:tr w:rsidR="0000655B" w:rsidTr="00FC1524">
        <w:tc>
          <w:tcPr>
            <w:tcW w:w="3085" w:type="dxa"/>
          </w:tcPr>
          <w:p w:rsidR="0000655B" w:rsidRPr="00B9555A" w:rsidRDefault="0000655B" w:rsidP="00FC1524">
            <w:pPr>
              <w:rPr>
                <w:b/>
              </w:rPr>
            </w:pPr>
            <w:r w:rsidRPr="00B9555A">
              <w:rPr>
                <w:b/>
              </w:rPr>
              <w:t>Next Meeting Date</w:t>
            </w:r>
          </w:p>
        </w:tc>
        <w:tc>
          <w:tcPr>
            <w:tcW w:w="6157" w:type="dxa"/>
          </w:tcPr>
          <w:p w:rsidR="0000655B" w:rsidRPr="00FE678C" w:rsidRDefault="0000655B" w:rsidP="00FC1524">
            <w:r>
              <w:t>27</w:t>
            </w:r>
            <w:r w:rsidR="00EE38F7" w:rsidRPr="00EE38F7">
              <w:rPr>
                <w:vertAlign w:val="superscript"/>
              </w:rPr>
              <w:t>th</w:t>
            </w:r>
            <w:r w:rsidR="00EE38F7">
              <w:t xml:space="preserve"> </w:t>
            </w:r>
            <w:r>
              <w:t xml:space="preserve"> November 2014</w:t>
            </w:r>
          </w:p>
        </w:tc>
      </w:tr>
      <w:tr w:rsidR="0000655B" w:rsidTr="00FC1524">
        <w:tc>
          <w:tcPr>
            <w:tcW w:w="3085" w:type="dxa"/>
          </w:tcPr>
          <w:p w:rsidR="0000655B" w:rsidRPr="00B9555A" w:rsidRDefault="0000655B" w:rsidP="00FC1524">
            <w:pPr>
              <w:rPr>
                <w:b/>
              </w:rPr>
            </w:pPr>
            <w:r w:rsidRPr="00B9555A">
              <w:rPr>
                <w:b/>
              </w:rPr>
              <w:t>Website</w:t>
            </w:r>
            <w:r>
              <w:rPr>
                <w:b/>
              </w:rPr>
              <w:t xml:space="preserve"> Address</w:t>
            </w:r>
          </w:p>
        </w:tc>
        <w:tc>
          <w:tcPr>
            <w:tcW w:w="6157" w:type="dxa"/>
          </w:tcPr>
          <w:p w:rsidR="0000655B" w:rsidRPr="00FE678C" w:rsidRDefault="00493322" w:rsidP="00FC1524">
            <w:hyperlink r:id="rId14" w:history="1">
              <w:r w:rsidR="0000655B" w:rsidRPr="00370957">
                <w:rPr>
                  <w:rStyle w:val="Hyperlink"/>
                </w:rPr>
                <w:t>https://www.oxfordshire.gov.uk/cms/content/oxfordshire-safer-communities-partnership</w:t>
              </w:r>
            </w:hyperlink>
          </w:p>
        </w:tc>
      </w:tr>
      <w:tr w:rsidR="0000655B" w:rsidTr="00FC1524">
        <w:tc>
          <w:tcPr>
            <w:tcW w:w="3085" w:type="dxa"/>
          </w:tcPr>
          <w:p w:rsidR="0000655B" w:rsidRPr="00B9555A" w:rsidRDefault="0000655B" w:rsidP="00FC1524">
            <w:pPr>
              <w:rPr>
                <w:b/>
              </w:rPr>
            </w:pPr>
            <w:r>
              <w:rPr>
                <w:b/>
              </w:rPr>
              <w:t>Governance Arrangements</w:t>
            </w:r>
          </w:p>
        </w:tc>
        <w:tc>
          <w:tcPr>
            <w:tcW w:w="6157" w:type="dxa"/>
          </w:tcPr>
          <w:p w:rsidR="0000655B" w:rsidRDefault="006F13B2">
            <w:r>
              <w:t xml:space="preserve">The </w:t>
            </w:r>
            <w:r w:rsidRPr="00FE678C">
              <w:t>Oxfordshire Safer Communities Partnership</w:t>
            </w:r>
            <w:r>
              <w:t xml:space="preserve"> (</w:t>
            </w:r>
            <w:r w:rsidR="0000655B">
              <w:t>OSCP</w:t>
            </w:r>
            <w:r>
              <w:t>)</w:t>
            </w:r>
            <w:r w:rsidR="0000655B">
              <w:t xml:space="preserve"> Board is councillor-led (rotating Chairmanship every two years) and includes representation from all six local authorities in Oxfordshire, as well as key community safety partners including Police, Health and the Community Rehabilitation Company.  The Board meets 3 times per year and is supported by a Business Group that meets 6 times per year. </w:t>
            </w:r>
          </w:p>
        </w:tc>
      </w:tr>
      <w:tr w:rsidR="0000655B" w:rsidTr="00FC1524">
        <w:tc>
          <w:tcPr>
            <w:tcW w:w="9242" w:type="dxa"/>
            <w:gridSpan w:val="2"/>
          </w:tcPr>
          <w:p w:rsidR="0000655B" w:rsidRPr="00765F88" w:rsidRDefault="0000655B" w:rsidP="00FC1524">
            <w:pPr>
              <w:rPr>
                <w:b/>
              </w:rPr>
            </w:pPr>
            <w:r w:rsidRPr="00765F88">
              <w:rPr>
                <w:b/>
              </w:rPr>
              <w:t>The current focus for the Partnership</w:t>
            </w:r>
          </w:p>
        </w:tc>
      </w:tr>
      <w:tr w:rsidR="0000655B" w:rsidTr="00FC1524">
        <w:trPr>
          <w:trHeight w:val="1170"/>
        </w:trPr>
        <w:tc>
          <w:tcPr>
            <w:tcW w:w="9242" w:type="dxa"/>
            <w:gridSpan w:val="2"/>
          </w:tcPr>
          <w:p w:rsidR="0000655B" w:rsidRDefault="0000655B" w:rsidP="00FC1524">
            <w:pPr>
              <w:jc w:val="both"/>
              <w:rPr>
                <w:bCs/>
                <w:color w:val="000000"/>
              </w:rPr>
            </w:pPr>
            <w:r>
              <w:rPr>
                <w:bCs/>
                <w:color w:val="000000"/>
              </w:rPr>
              <w:t>The</w:t>
            </w:r>
            <w:r w:rsidRPr="00837E43">
              <w:rPr>
                <w:bCs/>
                <w:color w:val="000000"/>
              </w:rPr>
              <w:t xml:space="preserve"> </w:t>
            </w:r>
            <w:r>
              <w:rPr>
                <w:bCs/>
                <w:color w:val="000000"/>
              </w:rPr>
              <w:t>Oxfordshire Safer Communities Partnership (OSCP) is the statutory county-wide partnership that provides strategic direction for community safety activity to reduce crime and anti-social behaviour across the county.  OSCP performs this role through delivery of the five year OSCP Business Plan 2012-17 which sets out the strategic context and priorities for action.  The business plan is refreshed on an annual basis and provides the community safety agreement for the partnership as required by the Crime and Disorder Act 1998.</w:t>
            </w:r>
          </w:p>
          <w:p w:rsidR="0000655B" w:rsidRDefault="0000655B" w:rsidP="00FC1524">
            <w:pPr>
              <w:jc w:val="both"/>
              <w:rPr>
                <w:bCs/>
                <w:color w:val="000000"/>
              </w:rPr>
            </w:pPr>
          </w:p>
          <w:p w:rsidR="0000655B" w:rsidRDefault="0000655B" w:rsidP="00FC1524">
            <w:r>
              <w:t>The 2014-15 annual refresh of the OSCP Business Plan has 5 strategic priorities of which cover a broad area of partnership activity. These are:</w:t>
            </w:r>
          </w:p>
          <w:p w:rsidR="0000655B" w:rsidRPr="00255AFE" w:rsidRDefault="0000655B" w:rsidP="00FC1524"/>
          <w:p w:rsidR="0000655B" w:rsidRPr="00255AFE" w:rsidRDefault="0000655B" w:rsidP="00FC1524">
            <w:pPr>
              <w:rPr>
                <w:bCs/>
              </w:rPr>
            </w:pPr>
            <w:r>
              <w:rPr>
                <w:bCs/>
                <w:u w:val="single"/>
              </w:rPr>
              <w:t>Priority 1 Victims: t</w:t>
            </w:r>
            <w:r w:rsidRPr="00C20D2A">
              <w:rPr>
                <w:bCs/>
                <w:u w:val="single"/>
              </w:rPr>
              <w:t>ackling abu</w:t>
            </w:r>
            <w:r>
              <w:rPr>
                <w:bCs/>
                <w:u w:val="single"/>
              </w:rPr>
              <w:t>se and exploitation</w:t>
            </w:r>
            <w:r>
              <w:rPr>
                <w:bCs/>
              </w:rPr>
              <w:t xml:space="preserve"> – shared domestic abuse review and development of Oxfordshire social enterprise model for Champions; local Community Safety Partnership (CSP) action plans to prevent child sexual exploitation under auspices of OSCB; single process for safeguarding individuals vulnerable to radicalisation through the Channel Panel which supports the national </w:t>
            </w:r>
            <w:r w:rsidRPr="00235546">
              <w:rPr>
                <w:bCs/>
                <w:i/>
              </w:rPr>
              <w:t>Prevent</w:t>
            </w:r>
            <w:r>
              <w:rPr>
                <w:bCs/>
              </w:rPr>
              <w:t xml:space="preserve"> strategy.</w:t>
            </w:r>
          </w:p>
          <w:p w:rsidR="0000655B" w:rsidRDefault="0000655B" w:rsidP="00FC1524"/>
          <w:p w:rsidR="0000655B" w:rsidRDefault="0000655B" w:rsidP="00FC1524">
            <w:r w:rsidRPr="00C20D2A">
              <w:rPr>
                <w:u w:val="single"/>
              </w:rPr>
              <w:t>Priorities 2 &amp; 3</w:t>
            </w:r>
            <w:r>
              <w:rPr>
                <w:u w:val="single"/>
              </w:rPr>
              <w:t xml:space="preserve"> Offenders: r</w:t>
            </w:r>
            <w:r w:rsidRPr="00C20D2A">
              <w:rPr>
                <w:u w:val="single"/>
              </w:rPr>
              <w:t>educing violent crime</w:t>
            </w:r>
            <w:r>
              <w:rPr>
                <w:u w:val="single"/>
              </w:rPr>
              <w:t xml:space="preserve"> and targeting p</w:t>
            </w:r>
            <w:r w:rsidRPr="00C20D2A">
              <w:rPr>
                <w:u w:val="single"/>
              </w:rPr>
              <w:t>atterns of offending</w:t>
            </w:r>
            <w:r>
              <w:t xml:space="preserve"> - </w:t>
            </w:r>
            <w:r w:rsidRPr="00255AFE">
              <w:t xml:space="preserve">CSPs </w:t>
            </w:r>
            <w:r>
              <w:t xml:space="preserve">sharing good practice on </w:t>
            </w:r>
            <w:r w:rsidRPr="00255AFE">
              <w:t>managing night time economy</w:t>
            </w:r>
            <w:r>
              <w:t>; Oxfordshire-</w:t>
            </w:r>
            <w:r w:rsidRPr="00255AFE">
              <w:t>wide Domestic Abuse perpetrator programme</w:t>
            </w:r>
            <w:r>
              <w:t xml:space="preserve">; Oxfordshire Drug and alcohol treatment/ </w:t>
            </w:r>
            <w:r w:rsidRPr="00255AFE">
              <w:t xml:space="preserve">support for </w:t>
            </w:r>
            <w:r>
              <w:t>recovery (</w:t>
            </w:r>
            <w:r w:rsidRPr="00255AFE">
              <w:t>including offenders/ ex-offenders</w:t>
            </w:r>
            <w:r>
              <w:t>) services, l</w:t>
            </w:r>
            <w:r w:rsidRPr="00255AFE">
              <w:t>egal highs campaign</w:t>
            </w:r>
            <w:r>
              <w:t xml:space="preserve">; </w:t>
            </w:r>
            <w:r w:rsidRPr="00255AFE">
              <w:t>Support first time entrants to youth justice services</w:t>
            </w:r>
            <w:r>
              <w:t xml:space="preserve"> across Oxfordshire.</w:t>
            </w:r>
          </w:p>
          <w:p w:rsidR="0000655B" w:rsidRPr="00255AFE" w:rsidRDefault="0000655B" w:rsidP="00FC1524"/>
          <w:p w:rsidR="0000655B" w:rsidRDefault="0000655B" w:rsidP="00FC1524">
            <w:r>
              <w:rPr>
                <w:u w:val="single"/>
              </w:rPr>
              <w:t>Priority 4 Community: d</w:t>
            </w:r>
            <w:r w:rsidRPr="00C20D2A">
              <w:rPr>
                <w:u w:val="single"/>
              </w:rPr>
              <w:t>ealing with anti-social behaviour</w:t>
            </w:r>
            <w:r>
              <w:t xml:space="preserve"> – sharing learning from impact of new </w:t>
            </w:r>
            <w:r w:rsidRPr="00255AFE">
              <w:t>ASB legislation</w:t>
            </w:r>
            <w:r>
              <w:t xml:space="preserve">; Supporting the </w:t>
            </w:r>
            <w:r w:rsidRPr="00255AFE">
              <w:t>Mental Health Concordat</w:t>
            </w:r>
            <w:r>
              <w:t xml:space="preserve">; Managing reductions in </w:t>
            </w:r>
            <w:r w:rsidRPr="00255AFE">
              <w:t>CCTV funding</w:t>
            </w:r>
            <w:r>
              <w:t xml:space="preserve"> efficiently. </w:t>
            </w:r>
          </w:p>
          <w:p w:rsidR="0000655B" w:rsidRPr="00255AFE" w:rsidRDefault="0000655B" w:rsidP="00FC1524"/>
          <w:p w:rsidR="0000655B" w:rsidRPr="00EF0AFC" w:rsidRDefault="0000655B" w:rsidP="00FC1524">
            <w:r w:rsidRPr="00C20D2A">
              <w:rPr>
                <w:bCs/>
                <w:u w:val="single"/>
              </w:rPr>
              <w:t>Priority 5: Efficiency and Effectiveness</w:t>
            </w:r>
            <w:r>
              <w:rPr>
                <w:bCs/>
              </w:rPr>
              <w:t xml:space="preserve"> - </w:t>
            </w:r>
            <w:r>
              <w:t xml:space="preserve">Informing the development of the </w:t>
            </w:r>
            <w:r w:rsidRPr="00255AFE">
              <w:t>M</w:t>
            </w:r>
            <w:r>
              <w:t xml:space="preserve">ulti </w:t>
            </w:r>
            <w:r w:rsidRPr="00255AFE">
              <w:t>A</w:t>
            </w:r>
            <w:r>
              <w:t xml:space="preserve">gency </w:t>
            </w:r>
            <w:r w:rsidRPr="00255AFE">
              <w:t>S</w:t>
            </w:r>
            <w:r>
              <w:t xml:space="preserve">afeguarding </w:t>
            </w:r>
            <w:r w:rsidRPr="00255AFE">
              <w:t>H</w:t>
            </w:r>
            <w:r>
              <w:t>ub so that it supports community safety concerns</w:t>
            </w:r>
            <w:r>
              <w:rPr>
                <w:bCs/>
              </w:rPr>
              <w:t xml:space="preserve">; </w:t>
            </w:r>
            <w:r>
              <w:t xml:space="preserve">Reviewing OSCP Business Plan and supporting information including the Strategic Intelligence Assessment and Community safety website: </w:t>
            </w:r>
            <w:hyperlink r:id="rId15" w:history="1">
              <w:r w:rsidRPr="00FB308D">
                <w:rPr>
                  <w:rStyle w:val="Hyperlink"/>
                </w:rPr>
                <w:t>http://insight.oxfordshire.gov.uk/cms/community-safety-0</w:t>
              </w:r>
            </w:hyperlink>
          </w:p>
          <w:p w:rsidR="0000655B" w:rsidRDefault="0000655B" w:rsidP="00FC1524"/>
          <w:p w:rsidR="0000655B" w:rsidRDefault="0000655B" w:rsidP="004A605D">
            <w:r>
              <w:t>Current funding from the Police and Crime commissioner is £789k.  There has been an 11% reduction in this funding since 2013/14.  The funding is shared between C</w:t>
            </w:r>
            <w:r w:rsidR="006F13B2">
              <w:t xml:space="preserve">ommunity </w:t>
            </w:r>
            <w:r>
              <w:t>S</w:t>
            </w:r>
            <w:r w:rsidR="006F13B2">
              <w:t xml:space="preserve">afety </w:t>
            </w:r>
            <w:r>
              <w:t>P</w:t>
            </w:r>
            <w:r w:rsidR="006F13B2">
              <w:t>artnership</w:t>
            </w:r>
            <w:r>
              <w:t xml:space="preserve">s, Oxfordshire County Council’s Drug and Alcohol Team (Public Health) and the Youth offending Service/ Early Intervention Service.  </w:t>
            </w:r>
          </w:p>
          <w:p w:rsidR="004A605D" w:rsidRPr="005C3409" w:rsidRDefault="004A605D" w:rsidP="004A605D"/>
        </w:tc>
      </w:tr>
      <w:tr w:rsidR="0000655B" w:rsidTr="00FC1524">
        <w:trPr>
          <w:trHeight w:val="431"/>
        </w:trPr>
        <w:tc>
          <w:tcPr>
            <w:tcW w:w="9242" w:type="dxa"/>
            <w:gridSpan w:val="2"/>
          </w:tcPr>
          <w:p w:rsidR="0000655B" w:rsidRPr="00765F88" w:rsidRDefault="0000655B" w:rsidP="00FC1524">
            <w:pPr>
              <w:rPr>
                <w:b/>
              </w:rPr>
            </w:pPr>
            <w:r w:rsidRPr="00765F88">
              <w:rPr>
                <w:b/>
              </w:rPr>
              <w:t>The Partnership’s key achievements in the last year</w:t>
            </w:r>
          </w:p>
        </w:tc>
      </w:tr>
      <w:tr w:rsidR="0000655B" w:rsidTr="00FC1524">
        <w:tc>
          <w:tcPr>
            <w:tcW w:w="9242" w:type="dxa"/>
            <w:gridSpan w:val="2"/>
          </w:tcPr>
          <w:p w:rsidR="004A605D" w:rsidRDefault="004A605D" w:rsidP="00FC1524">
            <w:pPr>
              <w:autoSpaceDE w:val="0"/>
              <w:autoSpaceDN w:val="0"/>
              <w:adjustRightInd w:val="0"/>
              <w:rPr>
                <w:color w:val="000000"/>
              </w:rPr>
            </w:pPr>
          </w:p>
          <w:p w:rsidR="0000655B" w:rsidRPr="0088738D" w:rsidRDefault="0000655B" w:rsidP="00FC1524">
            <w:pPr>
              <w:autoSpaceDE w:val="0"/>
              <w:autoSpaceDN w:val="0"/>
              <w:adjustRightInd w:val="0"/>
              <w:rPr>
                <w:color w:val="000000"/>
              </w:rPr>
            </w:pPr>
            <w:r w:rsidRPr="0088738D">
              <w:rPr>
                <w:color w:val="000000"/>
              </w:rPr>
              <w:t>The focus of shared activity for community safety partners during 2013-14 was to continue to reduce crime, improve access to data and information, further develop our partnership performance management framework and identify opportunities for ‘adding value’ as a partnership through</w:t>
            </w:r>
            <w:r w:rsidRPr="0088738D">
              <w:t xml:space="preserve"> collaboration </w:t>
            </w:r>
            <w:r w:rsidRPr="0088738D">
              <w:rPr>
                <w:color w:val="000000"/>
              </w:rPr>
              <w:t xml:space="preserve">and innovation.  </w:t>
            </w:r>
          </w:p>
          <w:p w:rsidR="0000655B" w:rsidRPr="0088738D" w:rsidRDefault="0000655B" w:rsidP="00FC1524">
            <w:pPr>
              <w:autoSpaceDE w:val="0"/>
              <w:autoSpaceDN w:val="0"/>
              <w:adjustRightInd w:val="0"/>
              <w:rPr>
                <w:b/>
                <w:color w:val="000000"/>
              </w:rPr>
            </w:pPr>
          </w:p>
          <w:p w:rsidR="0000655B" w:rsidRPr="002057FB" w:rsidRDefault="0000655B" w:rsidP="00FC1524">
            <w:pPr>
              <w:autoSpaceDE w:val="0"/>
              <w:autoSpaceDN w:val="0"/>
              <w:adjustRightInd w:val="0"/>
              <w:spacing w:after="120"/>
              <w:rPr>
                <w:color w:val="000000"/>
              </w:rPr>
            </w:pPr>
            <w:r w:rsidRPr="002057FB">
              <w:rPr>
                <w:b/>
                <w:color w:val="000000"/>
              </w:rPr>
              <w:t xml:space="preserve">Reducing crime: </w:t>
            </w:r>
            <w:r w:rsidRPr="002057FB">
              <w:rPr>
                <w:color w:val="000000"/>
              </w:rPr>
              <w:t xml:space="preserve">crime fell 1.1% (414 crimes) in the year to September 2013 continuing a long term downward trend since 2007.  This has been achieved despite a growing population in Oxfordshire. </w:t>
            </w:r>
          </w:p>
          <w:p w:rsidR="0000655B" w:rsidRPr="002057FB" w:rsidRDefault="0000655B" w:rsidP="00FC1524">
            <w:pPr>
              <w:spacing w:after="120"/>
              <w:rPr>
                <w:rFonts w:cstheme="minorBidi"/>
                <w:szCs w:val="22"/>
              </w:rPr>
            </w:pPr>
            <w:r w:rsidRPr="002057FB">
              <w:rPr>
                <w:b/>
                <w:szCs w:val="22"/>
              </w:rPr>
              <w:t>Improving access to information</w:t>
            </w:r>
            <w:r w:rsidRPr="002057FB">
              <w:rPr>
                <w:rFonts w:cstheme="minorBidi"/>
                <w:szCs w:val="22"/>
              </w:rPr>
              <w:t xml:space="preserve">: the new community safety Information Management System (IMS) has been further developed to provide access to core information on community safety issues to enable high level priority setting, performance monitoring, project development and evaluation: </w:t>
            </w:r>
            <w:hyperlink r:id="rId16" w:history="1">
              <w:r w:rsidRPr="002057FB">
                <w:rPr>
                  <w:color w:val="0000FF" w:themeColor="hyperlink"/>
                  <w:szCs w:val="22"/>
                  <w:u w:val="single"/>
                </w:rPr>
                <w:t>www.oxfordshire.gov.uk/insight/communitysafety</w:t>
              </w:r>
            </w:hyperlink>
          </w:p>
          <w:p w:rsidR="0000655B" w:rsidRPr="002057FB" w:rsidRDefault="0000655B" w:rsidP="00FC1524">
            <w:pPr>
              <w:spacing w:after="120"/>
              <w:rPr>
                <w:rFonts w:cstheme="minorBidi"/>
                <w:szCs w:val="22"/>
              </w:rPr>
            </w:pPr>
            <w:r w:rsidRPr="002057FB">
              <w:rPr>
                <w:rFonts w:cstheme="minorBidi"/>
                <w:szCs w:val="22"/>
              </w:rPr>
              <w:t>The 2013-14 Oxfordshire Strategic Intelligence Assessment</w:t>
            </w:r>
            <w:r>
              <w:rPr>
                <w:rFonts w:cstheme="minorBidi"/>
                <w:szCs w:val="22"/>
              </w:rPr>
              <w:t xml:space="preserve"> (SIA) was published in April</w:t>
            </w:r>
            <w:r w:rsidRPr="002057FB">
              <w:rPr>
                <w:rFonts w:cstheme="minorBidi"/>
                <w:szCs w:val="22"/>
              </w:rPr>
              <w:t xml:space="preserve"> 2014 providing a robust community safety evidence base at the county and district levels.  </w:t>
            </w:r>
          </w:p>
          <w:p w:rsidR="0000655B" w:rsidRDefault="0000655B" w:rsidP="00FC1524">
            <w:pPr>
              <w:autoSpaceDE w:val="0"/>
              <w:autoSpaceDN w:val="0"/>
              <w:adjustRightInd w:val="0"/>
              <w:spacing w:after="120"/>
              <w:rPr>
                <w:b/>
                <w:color w:val="000000"/>
              </w:rPr>
            </w:pPr>
            <w:r w:rsidRPr="002057FB">
              <w:rPr>
                <w:b/>
                <w:color w:val="000000"/>
              </w:rPr>
              <w:t xml:space="preserve">Managing </w:t>
            </w:r>
            <w:r>
              <w:rPr>
                <w:b/>
                <w:color w:val="000000"/>
              </w:rPr>
              <w:t>performance</w:t>
            </w:r>
          </w:p>
          <w:p w:rsidR="0000655B" w:rsidRPr="00EF0AFC" w:rsidRDefault="0000655B" w:rsidP="00FC1524">
            <w:pPr>
              <w:autoSpaceDE w:val="0"/>
              <w:autoSpaceDN w:val="0"/>
              <w:adjustRightInd w:val="0"/>
              <w:spacing w:after="120"/>
              <w:rPr>
                <w:b/>
                <w:color w:val="000000"/>
              </w:rPr>
            </w:pPr>
            <w:r w:rsidRPr="002057FB">
              <w:rPr>
                <w:rFonts w:cstheme="minorBidi"/>
              </w:rPr>
              <w:t xml:space="preserve">The Board receives a bi-annual performance report using RAG rating and exception reporting to highlight areas that require further work. </w:t>
            </w:r>
            <w:r>
              <w:rPr>
                <w:rFonts w:cstheme="minorBidi"/>
              </w:rPr>
              <w:t xml:space="preserve"> Future performance will focus on the indicators agreed with the Police and Crime Commissioner. </w:t>
            </w:r>
          </w:p>
          <w:p w:rsidR="0000655B" w:rsidRDefault="0000655B" w:rsidP="00FC1524">
            <w:pPr>
              <w:autoSpaceDE w:val="0"/>
              <w:autoSpaceDN w:val="0"/>
              <w:adjustRightInd w:val="0"/>
              <w:spacing w:after="120"/>
              <w:rPr>
                <w:b/>
                <w:color w:val="000000"/>
              </w:rPr>
            </w:pPr>
            <w:r w:rsidRPr="002057FB">
              <w:rPr>
                <w:b/>
                <w:color w:val="000000"/>
              </w:rPr>
              <w:t>Developing collaborative and innovative local service delivery</w:t>
            </w:r>
          </w:p>
          <w:p w:rsidR="0000655B" w:rsidRDefault="0000655B" w:rsidP="00FC1524">
            <w:pPr>
              <w:rPr>
                <w:rFonts w:cstheme="minorBidi"/>
                <w:szCs w:val="22"/>
              </w:rPr>
            </w:pPr>
            <w:r w:rsidRPr="00A94026">
              <w:rPr>
                <w:rFonts w:cstheme="minorBidi"/>
                <w:szCs w:val="22"/>
              </w:rPr>
              <w:t xml:space="preserve">Domestic abuse services: there is currently a network of over 800 multi-agency domestic abuse Champions across Oxfordshire.  Champions form the cornerstone of our early intervention strategy to support victims of domestic abuse through effectively signposting to intervention and specialist services.  </w:t>
            </w:r>
          </w:p>
          <w:p w:rsidR="0000655B" w:rsidRPr="00A94026" w:rsidRDefault="0000655B" w:rsidP="00FC1524">
            <w:pPr>
              <w:rPr>
                <w:rFonts w:cstheme="minorBidi"/>
                <w:szCs w:val="22"/>
              </w:rPr>
            </w:pPr>
          </w:p>
          <w:p w:rsidR="0000655B" w:rsidRPr="0088738D" w:rsidRDefault="0000655B" w:rsidP="00FC1524">
            <w:pPr>
              <w:spacing w:after="120"/>
              <w:rPr>
                <w:rFonts w:cstheme="minorBidi"/>
                <w:szCs w:val="22"/>
                <w:highlight w:val="yellow"/>
              </w:rPr>
            </w:pPr>
            <w:r w:rsidRPr="0088738D">
              <w:rPr>
                <w:rFonts w:cstheme="minorBidi"/>
                <w:szCs w:val="22"/>
              </w:rPr>
              <w:t>Stop Hate UK continues to provide a 24 hour support and referral service supporting victims of</w:t>
            </w:r>
            <w:r>
              <w:rPr>
                <w:rFonts w:cstheme="minorBidi"/>
                <w:szCs w:val="22"/>
              </w:rPr>
              <w:t xml:space="preserve"> hate crime across Oxfordshire.  </w:t>
            </w:r>
          </w:p>
          <w:p w:rsidR="0000655B" w:rsidRPr="0088738D" w:rsidRDefault="0000655B" w:rsidP="00FC1524">
            <w:pPr>
              <w:spacing w:after="120"/>
              <w:rPr>
                <w:rFonts w:cstheme="minorBidi"/>
                <w:b/>
                <w:i/>
                <w:szCs w:val="22"/>
              </w:rPr>
            </w:pPr>
            <w:r w:rsidRPr="0088738D">
              <w:rPr>
                <w:rFonts w:cstheme="minorBidi"/>
                <w:szCs w:val="22"/>
              </w:rPr>
              <w:t xml:space="preserve">Oxfordshire was chosen as one of the eight national pilot areas to take part in the payment by results approach to support and sustain recovery from drug and alcohol misuse with outcomes including freedom from dependence, reduced re-offending or continued non-offending, increased employment activity and improved health and wellbeing.  </w:t>
            </w:r>
          </w:p>
          <w:p w:rsidR="0000655B" w:rsidRPr="0088738D" w:rsidRDefault="0000655B" w:rsidP="00FC1524">
            <w:pPr>
              <w:spacing w:after="120"/>
              <w:rPr>
                <w:rFonts w:cstheme="minorBidi"/>
                <w:szCs w:val="22"/>
              </w:rPr>
            </w:pPr>
            <w:r w:rsidRPr="0088738D">
              <w:rPr>
                <w:rFonts w:cstheme="minorBidi"/>
                <w:szCs w:val="22"/>
              </w:rPr>
              <w:t xml:space="preserve">The Youth Offending Service and the Early Intervention Service </w:t>
            </w:r>
            <w:r>
              <w:rPr>
                <w:rFonts w:cstheme="minorBidi"/>
                <w:szCs w:val="22"/>
              </w:rPr>
              <w:t xml:space="preserve">have </w:t>
            </w:r>
            <w:r w:rsidRPr="0088738D">
              <w:rPr>
                <w:rFonts w:cstheme="minorBidi"/>
                <w:szCs w:val="22"/>
              </w:rPr>
              <w:t>worked closely to offer an effective and responsive range of preventative services and to ensure the continued success in maintaining low rates of first time entrants into the youth justice system.</w:t>
            </w:r>
          </w:p>
          <w:p w:rsidR="0000655B" w:rsidRPr="0088738D" w:rsidRDefault="006F13B2" w:rsidP="00FC1524">
            <w:pPr>
              <w:rPr>
                <w:szCs w:val="22"/>
              </w:rPr>
            </w:pPr>
            <w:r>
              <w:t>Community Safety Partnerships</w:t>
            </w:r>
            <w:r w:rsidR="0000655B" w:rsidRPr="0088738D">
              <w:rPr>
                <w:szCs w:val="22"/>
              </w:rPr>
              <w:t xml:space="preserve"> have supported the work of the Oxfordshire Local Children’s Safeguarding Board to prevent C</w:t>
            </w:r>
            <w:r>
              <w:rPr>
                <w:szCs w:val="22"/>
              </w:rPr>
              <w:t xml:space="preserve">hild </w:t>
            </w:r>
            <w:r w:rsidR="0000655B" w:rsidRPr="0088738D">
              <w:rPr>
                <w:szCs w:val="22"/>
              </w:rPr>
              <w:t>S</w:t>
            </w:r>
            <w:r>
              <w:rPr>
                <w:szCs w:val="22"/>
              </w:rPr>
              <w:t xml:space="preserve">exual </w:t>
            </w:r>
            <w:r w:rsidR="0000655B" w:rsidRPr="0088738D">
              <w:rPr>
                <w:szCs w:val="22"/>
              </w:rPr>
              <w:t>E</w:t>
            </w:r>
            <w:r>
              <w:rPr>
                <w:szCs w:val="22"/>
              </w:rPr>
              <w:t>xploitation (CSE)</w:t>
            </w:r>
            <w:r w:rsidR="0000655B" w:rsidRPr="0088738D">
              <w:rPr>
                <w:szCs w:val="22"/>
              </w:rPr>
              <w:t xml:space="preserve"> through developing their own local action plans to raise public awareness. </w:t>
            </w:r>
          </w:p>
          <w:p w:rsidR="0000655B" w:rsidRDefault="0000655B" w:rsidP="00FC1524">
            <w:pPr>
              <w:pStyle w:val="Default"/>
            </w:pPr>
          </w:p>
        </w:tc>
      </w:tr>
      <w:tr w:rsidR="0000655B" w:rsidTr="00FC1524">
        <w:tc>
          <w:tcPr>
            <w:tcW w:w="9242" w:type="dxa"/>
            <w:gridSpan w:val="2"/>
          </w:tcPr>
          <w:p w:rsidR="0000655B" w:rsidRPr="004B3CEE" w:rsidRDefault="0000655B" w:rsidP="00FC1524">
            <w:pPr>
              <w:rPr>
                <w:b/>
                <w:highlight w:val="yellow"/>
              </w:rPr>
            </w:pPr>
            <w:r w:rsidRPr="00E2298C">
              <w:rPr>
                <w:b/>
              </w:rPr>
              <w:t>The aims for the Partnership in the year ahead</w:t>
            </w:r>
          </w:p>
        </w:tc>
      </w:tr>
      <w:tr w:rsidR="0000655B" w:rsidTr="00FC1524">
        <w:tc>
          <w:tcPr>
            <w:tcW w:w="9242" w:type="dxa"/>
            <w:gridSpan w:val="2"/>
          </w:tcPr>
          <w:p w:rsidR="0000655B" w:rsidRDefault="0000655B" w:rsidP="00FC1524"/>
          <w:p w:rsidR="0000655B" w:rsidRDefault="0000655B" w:rsidP="00FC1524">
            <w:r>
              <w:t>To deliver on the OSCP business plan priorities – see above</w:t>
            </w:r>
          </w:p>
          <w:p w:rsidR="0000655B" w:rsidRDefault="0000655B" w:rsidP="00FC1524"/>
        </w:tc>
      </w:tr>
      <w:tr w:rsidR="0000655B" w:rsidTr="00FC1524">
        <w:tc>
          <w:tcPr>
            <w:tcW w:w="9242" w:type="dxa"/>
            <w:gridSpan w:val="2"/>
          </w:tcPr>
          <w:p w:rsidR="0000655B" w:rsidRPr="00425AB4" w:rsidRDefault="0000655B" w:rsidP="00FC1524">
            <w:pPr>
              <w:rPr>
                <w:b/>
              </w:rPr>
            </w:pPr>
            <w:r w:rsidRPr="00425AB4">
              <w:rPr>
                <w:b/>
              </w:rPr>
              <w:t>The key challenges for the Partnership and how these will be addressed going forward</w:t>
            </w:r>
            <w:r>
              <w:rPr>
                <w:b/>
              </w:rPr>
              <w:t>.</w:t>
            </w:r>
          </w:p>
        </w:tc>
      </w:tr>
      <w:tr w:rsidR="0000655B" w:rsidTr="00FC1524">
        <w:trPr>
          <w:trHeight w:val="6587"/>
        </w:trPr>
        <w:tc>
          <w:tcPr>
            <w:tcW w:w="9242" w:type="dxa"/>
            <w:gridSpan w:val="2"/>
          </w:tcPr>
          <w:p w:rsidR="0000655B" w:rsidRDefault="0000655B" w:rsidP="00FC1524"/>
          <w:p w:rsidR="0000655B" w:rsidRDefault="0000655B" w:rsidP="00FC1524">
            <w:r>
              <w:t xml:space="preserve">Maintaining the reduction in levels of crime will be a challenge, especially given continually reducing resources and historically low levels of crime. OSCP will work closely with the Office of the Police and Crime Commissioner to maximise the impact of funding and access new funding sources, such as the Victim’s Commissioning Funding. </w:t>
            </w:r>
          </w:p>
          <w:p w:rsidR="0000655B" w:rsidRDefault="0000655B" w:rsidP="00FC1524"/>
          <w:p w:rsidR="0000655B" w:rsidRDefault="0000655B" w:rsidP="00FC1524">
            <w:r>
              <w:t>OSCP will continue to explore options to work more efficiently and effectively across Oxfordshire and Thames Valley.  Challenges for 2014-15 include:</w:t>
            </w:r>
          </w:p>
          <w:p w:rsidR="0000655B" w:rsidRDefault="0000655B" w:rsidP="00FC1524"/>
          <w:p w:rsidR="0000655B" w:rsidRPr="00A94026" w:rsidRDefault="006F13B2" w:rsidP="000B3569">
            <w:pPr>
              <w:pStyle w:val="ListParagraph"/>
              <w:numPr>
                <w:ilvl w:val="0"/>
                <w:numId w:val="32"/>
              </w:numPr>
            </w:pPr>
            <w:r>
              <w:rPr>
                <w:rFonts w:cstheme="minorBidi"/>
                <w:szCs w:val="22"/>
              </w:rPr>
              <w:t>Providing support to proposals that</w:t>
            </w:r>
            <w:r w:rsidR="0000655B">
              <w:rPr>
                <w:rFonts w:cstheme="minorBidi"/>
                <w:szCs w:val="22"/>
              </w:rPr>
              <w:t xml:space="preserve"> the</w:t>
            </w:r>
            <w:r w:rsidR="0000655B" w:rsidRPr="00A94026">
              <w:rPr>
                <w:rFonts w:cstheme="minorBidi"/>
                <w:szCs w:val="22"/>
              </w:rPr>
              <w:t xml:space="preserve"> </w:t>
            </w:r>
            <w:r w:rsidR="0000655B">
              <w:rPr>
                <w:rFonts w:cstheme="minorBidi"/>
                <w:szCs w:val="22"/>
              </w:rPr>
              <w:t xml:space="preserve">Oxfordshire </w:t>
            </w:r>
            <w:r w:rsidR="0000655B" w:rsidRPr="00A94026">
              <w:rPr>
                <w:rFonts w:cstheme="minorBidi"/>
                <w:szCs w:val="22"/>
              </w:rPr>
              <w:t xml:space="preserve">Domestic Abuse Champions </w:t>
            </w:r>
            <w:r w:rsidR="0000655B">
              <w:rPr>
                <w:rFonts w:cstheme="minorBidi"/>
                <w:szCs w:val="22"/>
              </w:rPr>
              <w:t xml:space="preserve">model </w:t>
            </w:r>
            <w:r>
              <w:rPr>
                <w:rFonts w:cstheme="minorBidi"/>
                <w:szCs w:val="22"/>
              </w:rPr>
              <w:t xml:space="preserve">transition </w:t>
            </w:r>
            <w:r w:rsidR="0000655B">
              <w:rPr>
                <w:rFonts w:cstheme="minorBidi"/>
                <w:szCs w:val="22"/>
              </w:rPr>
              <w:t>to a social enterprise;</w:t>
            </w:r>
          </w:p>
          <w:p w:rsidR="0000655B" w:rsidRPr="00A94026" w:rsidRDefault="0000655B" w:rsidP="000B3569">
            <w:pPr>
              <w:pStyle w:val="ListParagraph"/>
              <w:numPr>
                <w:ilvl w:val="0"/>
                <w:numId w:val="32"/>
              </w:numPr>
            </w:pPr>
            <w:r>
              <w:rPr>
                <w:rFonts w:cstheme="minorBidi"/>
                <w:szCs w:val="22"/>
              </w:rPr>
              <w:t xml:space="preserve">Supporting a campaign on hate crime by the Police and CSPs in Oxfordshire to raise awareness of disability-related hate crime; </w:t>
            </w:r>
          </w:p>
          <w:p w:rsidR="0000655B" w:rsidRPr="00A94026" w:rsidRDefault="0000655B" w:rsidP="000B3569">
            <w:pPr>
              <w:pStyle w:val="ListParagraph"/>
              <w:numPr>
                <w:ilvl w:val="0"/>
                <w:numId w:val="32"/>
              </w:numPr>
            </w:pPr>
            <w:r>
              <w:rPr>
                <w:rFonts w:cstheme="minorBidi"/>
                <w:szCs w:val="22"/>
              </w:rPr>
              <w:t>Leading a legal highs campaign to raise awareness of the dangers and reduce harm;</w:t>
            </w:r>
          </w:p>
          <w:p w:rsidR="0000655B" w:rsidRPr="00A94026" w:rsidRDefault="0000655B" w:rsidP="000B3569">
            <w:pPr>
              <w:pStyle w:val="ListParagraph"/>
              <w:numPr>
                <w:ilvl w:val="0"/>
                <w:numId w:val="32"/>
              </w:numPr>
            </w:pPr>
            <w:r>
              <w:rPr>
                <w:rFonts w:cstheme="minorBidi"/>
                <w:szCs w:val="22"/>
              </w:rPr>
              <w:t>Implementing CSP action plans (under the auspices of OSCB) to raise public awareness of child sexual exploitation, including support for local communities  at risk;</w:t>
            </w:r>
          </w:p>
          <w:p w:rsidR="0000655B" w:rsidRPr="00A94026" w:rsidRDefault="0000655B" w:rsidP="000B3569">
            <w:pPr>
              <w:pStyle w:val="ListParagraph"/>
              <w:numPr>
                <w:ilvl w:val="0"/>
                <w:numId w:val="32"/>
              </w:numPr>
            </w:pPr>
            <w:r>
              <w:rPr>
                <w:rFonts w:cstheme="minorBidi"/>
                <w:szCs w:val="22"/>
              </w:rPr>
              <w:t xml:space="preserve">Reviewing </w:t>
            </w:r>
            <w:r w:rsidRPr="005746A8">
              <w:rPr>
                <w:rFonts w:cstheme="minorBidi"/>
                <w:szCs w:val="22"/>
              </w:rPr>
              <w:t xml:space="preserve">the Oxfordshire Strategic Intelligence Assessment </w:t>
            </w:r>
            <w:r>
              <w:rPr>
                <w:rFonts w:cstheme="minorBidi"/>
                <w:szCs w:val="22"/>
              </w:rPr>
              <w:t>to identify potential synergies with other strategic data analysis requirements</w:t>
            </w:r>
            <w:r w:rsidRPr="005746A8">
              <w:rPr>
                <w:rFonts w:cstheme="minorBidi"/>
                <w:szCs w:val="22"/>
              </w:rPr>
              <w:t>;</w:t>
            </w:r>
          </w:p>
          <w:p w:rsidR="0000655B" w:rsidRPr="009D1FC7" w:rsidRDefault="0000655B" w:rsidP="000B3569">
            <w:pPr>
              <w:pStyle w:val="ListParagraph"/>
              <w:numPr>
                <w:ilvl w:val="0"/>
                <w:numId w:val="32"/>
              </w:numPr>
            </w:pPr>
            <w:r>
              <w:rPr>
                <w:rFonts w:cstheme="minorBidi"/>
                <w:szCs w:val="22"/>
              </w:rPr>
              <w:t>Safeguarding individuals vulnerable to radicalisation through the multi-agency Channel Panel;</w:t>
            </w:r>
          </w:p>
          <w:p w:rsidR="0000655B" w:rsidRPr="009D1FC7" w:rsidRDefault="0000655B" w:rsidP="000B3569">
            <w:pPr>
              <w:pStyle w:val="ListParagraph"/>
              <w:numPr>
                <w:ilvl w:val="0"/>
                <w:numId w:val="32"/>
              </w:numPr>
            </w:pPr>
            <w:r w:rsidRPr="009D1FC7">
              <w:t>E</w:t>
            </w:r>
            <w:r w:rsidRPr="009D1FC7">
              <w:rPr>
                <w:color w:val="000000"/>
              </w:rPr>
              <w:t>nsuring the PCC's victim's funding commissioning supports identified community safety priorities, addresses known gaps and links with other commissioning processes; and</w:t>
            </w:r>
          </w:p>
          <w:p w:rsidR="0000655B" w:rsidRPr="009D1FC7" w:rsidRDefault="0000655B" w:rsidP="000B3569">
            <w:pPr>
              <w:pStyle w:val="ListParagraph"/>
              <w:numPr>
                <w:ilvl w:val="0"/>
                <w:numId w:val="32"/>
              </w:numPr>
            </w:pPr>
            <w:r w:rsidRPr="009D1FC7">
              <w:rPr>
                <w:color w:val="000000"/>
              </w:rPr>
              <w:t>Securing appropriate probation engagement with the Board in view of the recent transformation.</w:t>
            </w:r>
          </w:p>
          <w:p w:rsidR="0000655B" w:rsidRDefault="0000655B" w:rsidP="00FC1524"/>
        </w:tc>
      </w:tr>
    </w:tbl>
    <w:p w:rsidR="0000655B" w:rsidRDefault="0000655B" w:rsidP="0000655B"/>
    <w:p w:rsidR="0000655B" w:rsidRDefault="0000655B">
      <w:r>
        <w:br w:type="page"/>
      </w:r>
    </w:p>
    <w:tbl>
      <w:tblPr>
        <w:tblStyle w:val="TableGrid"/>
        <w:tblW w:w="0" w:type="auto"/>
        <w:tblLook w:val="04A0" w:firstRow="1" w:lastRow="0" w:firstColumn="1" w:lastColumn="0" w:noHBand="0" w:noVBand="1"/>
      </w:tblPr>
      <w:tblGrid>
        <w:gridCol w:w="3063"/>
        <w:gridCol w:w="6179"/>
      </w:tblGrid>
      <w:tr w:rsidR="0000655B" w:rsidTr="00FC1524">
        <w:tc>
          <w:tcPr>
            <w:tcW w:w="3369" w:type="dxa"/>
          </w:tcPr>
          <w:p w:rsidR="0000655B" w:rsidRPr="00A82CC1" w:rsidRDefault="0000655B" w:rsidP="00FC1524">
            <w:pPr>
              <w:rPr>
                <w:b/>
              </w:rPr>
            </w:pPr>
            <w:r w:rsidRPr="00A82CC1">
              <w:rPr>
                <w:b/>
              </w:rPr>
              <w:t xml:space="preserve">Partnership Name </w:t>
            </w:r>
          </w:p>
        </w:tc>
        <w:tc>
          <w:tcPr>
            <w:tcW w:w="5873" w:type="dxa"/>
          </w:tcPr>
          <w:p w:rsidR="0000655B" w:rsidRPr="00A63A5C" w:rsidRDefault="0000655B" w:rsidP="00FC1524">
            <w:pPr>
              <w:rPr>
                <w:b/>
              </w:rPr>
            </w:pPr>
            <w:r>
              <w:rPr>
                <w:b/>
              </w:rPr>
              <w:t>Oxfordshire Stronger Communities Alliance</w:t>
            </w:r>
          </w:p>
        </w:tc>
      </w:tr>
      <w:tr w:rsidR="0000655B" w:rsidTr="00FC1524">
        <w:trPr>
          <w:trHeight w:val="217"/>
        </w:trPr>
        <w:tc>
          <w:tcPr>
            <w:tcW w:w="3369" w:type="dxa"/>
          </w:tcPr>
          <w:p w:rsidR="0000655B" w:rsidRPr="00A82CC1" w:rsidRDefault="0000655B" w:rsidP="00FC1524">
            <w:pPr>
              <w:rPr>
                <w:b/>
              </w:rPr>
            </w:pPr>
            <w:r w:rsidRPr="00A82CC1">
              <w:rPr>
                <w:b/>
              </w:rPr>
              <w:t xml:space="preserve">Date of completion </w:t>
            </w:r>
          </w:p>
        </w:tc>
        <w:tc>
          <w:tcPr>
            <w:tcW w:w="5873" w:type="dxa"/>
          </w:tcPr>
          <w:p w:rsidR="0000655B" w:rsidRDefault="0000655B" w:rsidP="00EE38F7">
            <w:r>
              <w:t>24</w:t>
            </w:r>
            <w:r w:rsidR="00EE38F7" w:rsidRPr="00EE38F7">
              <w:rPr>
                <w:vertAlign w:val="superscript"/>
              </w:rPr>
              <w:t>th</w:t>
            </w:r>
            <w:r w:rsidR="00EE38F7">
              <w:t xml:space="preserve"> </w:t>
            </w:r>
            <w:r>
              <w:t>June 2014</w:t>
            </w:r>
            <w:r w:rsidR="00EE38F7">
              <w:t xml:space="preserve"> </w:t>
            </w:r>
            <w:r w:rsidR="00EE38F7" w:rsidRPr="00212523">
              <w:rPr>
                <w:i/>
                <w:sz w:val="20"/>
                <w:szCs w:val="20"/>
              </w:rPr>
              <w:t xml:space="preserve">(updated </w:t>
            </w:r>
            <w:r w:rsidR="00EE38F7">
              <w:rPr>
                <w:i/>
                <w:sz w:val="20"/>
                <w:szCs w:val="20"/>
              </w:rPr>
              <w:t>18</w:t>
            </w:r>
            <w:r w:rsidR="00EE38F7" w:rsidRPr="00EE38F7">
              <w:rPr>
                <w:i/>
                <w:sz w:val="20"/>
                <w:szCs w:val="20"/>
                <w:vertAlign w:val="superscript"/>
              </w:rPr>
              <w:t>th</w:t>
            </w:r>
            <w:r w:rsidR="00EE38F7">
              <w:rPr>
                <w:i/>
                <w:sz w:val="20"/>
                <w:szCs w:val="20"/>
              </w:rPr>
              <w:t xml:space="preserve"> </w:t>
            </w:r>
            <w:r w:rsidR="00EE38F7" w:rsidRPr="00212523">
              <w:rPr>
                <w:i/>
                <w:sz w:val="20"/>
                <w:szCs w:val="20"/>
              </w:rPr>
              <w:t>September 2014)</w:t>
            </w:r>
          </w:p>
        </w:tc>
      </w:tr>
      <w:tr w:rsidR="0000655B" w:rsidTr="00FC1524">
        <w:tc>
          <w:tcPr>
            <w:tcW w:w="3369" w:type="dxa"/>
          </w:tcPr>
          <w:p w:rsidR="0000655B" w:rsidRPr="00A82CC1" w:rsidRDefault="0000655B" w:rsidP="00FC1524">
            <w:pPr>
              <w:rPr>
                <w:b/>
              </w:rPr>
            </w:pPr>
            <w:r w:rsidRPr="00A82CC1">
              <w:rPr>
                <w:b/>
              </w:rPr>
              <w:t xml:space="preserve">Chairman </w:t>
            </w:r>
          </w:p>
        </w:tc>
        <w:tc>
          <w:tcPr>
            <w:tcW w:w="5873" w:type="dxa"/>
          </w:tcPr>
          <w:p w:rsidR="0000655B" w:rsidRDefault="0000655B" w:rsidP="00FC1524">
            <w:r>
              <w:t>Rt Revd Bishop Colin Fletcher &amp; Cllr Hilary Hibbert-Biles</w:t>
            </w:r>
          </w:p>
        </w:tc>
      </w:tr>
      <w:tr w:rsidR="0000655B" w:rsidTr="00FC1524">
        <w:tc>
          <w:tcPr>
            <w:tcW w:w="3369" w:type="dxa"/>
          </w:tcPr>
          <w:p w:rsidR="0000655B" w:rsidRDefault="0000655B" w:rsidP="00FC1524">
            <w:pPr>
              <w:rPr>
                <w:b/>
              </w:rPr>
            </w:pPr>
            <w:r>
              <w:rPr>
                <w:b/>
              </w:rPr>
              <w:t>OCC Lead Member</w:t>
            </w:r>
          </w:p>
        </w:tc>
        <w:tc>
          <w:tcPr>
            <w:tcW w:w="5873" w:type="dxa"/>
          </w:tcPr>
          <w:p w:rsidR="0000655B" w:rsidRPr="00B228A0" w:rsidRDefault="0000655B" w:rsidP="00FC1524">
            <w:r w:rsidRPr="00B228A0">
              <w:t>Cllr Hilary Hibbert-Biles</w:t>
            </w:r>
          </w:p>
        </w:tc>
      </w:tr>
      <w:tr w:rsidR="0000655B" w:rsidTr="00FC1524">
        <w:tc>
          <w:tcPr>
            <w:tcW w:w="3369" w:type="dxa"/>
          </w:tcPr>
          <w:p w:rsidR="0000655B" w:rsidRPr="00B9555A" w:rsidRDefault="0000655B" w:rsidP="00FC1524">
            <w:pPr>
              <w:rPr>
                <w:b/>
              </w:rPr>
            </w:pPr>
            <w:r>
              <w:rPr>
                <w:b/>
              </w:rPr>
              <w:t>OCC Lead Officer</w:t>
            </w:r>
          </w:p>
        </w:tc>
        <w:tc>
          <w:tcPr>
            <w:tcW w:w="5873" w:type="dxa"/>
          </w:tcPr>
          <w:p w:rsidR="0000655B" w:rsidRPr="00B228A0" w:rsidRDefault="0000655B" w:rsidP="00FC1524">
            <w:r w:rsidRPr="00B228A0">
              <w:t>Jonathan McWilliam</w:t>
            </w:r>
          </w:p>
        </w:tc>
      </w:tr>
      <w:tr w:rsidR="0000655B" w:rsidTr="00FC1524">
        <w:tc>
          <w:tcPr>
            <w:tcW w:w="3369" w:type="dxa"/>
          </w:tcPr>
          <w:p w:rsidR="0000655B" w:rsidRPr="00B9555A" w:rsidRDefault="0000655B" w:rsidP="00FC1524">
            <w:pPr>
              <w:rPr>
                <w:b/>
              </w:rPr>
            </w:pPr>
            <w:r w:rsidRPr="00B9555A">
              <w:rPr>
                <w:b/>
              </w:rPr>
              <w:t>Last Meeting Date</w:t>
            </w:r>
          </w:p>
        </w:tc>
        <w:tc>
          <w:tcPr>
            <w:tcW w:w="5873" w:type="dxa"/>
          </w:tcPr>
          <w:p w:rsidR="0000655B" w:rsidRPr="00B228A0" w:rsidRDefault="0000655B" w:rsidP="00EE38F7">
            <w:r w:rsidRPr="00B228A0">
              <w:t>19</w:t>
            </w:r>
            <w:r w:rsidR="00EE38F7" w:rsidRPr="00EE38F7">
              <w:rPr>
                <w:vertAlign w:val="superscript"/>
              </w:rPr>
              <w:t>th</w:t>
            </w:r>
            <w:r w:rsidR="00EE38F7">
              <w:t xml:space="preserve"> </w:t>
            </w:r>
            <w:r w:rsidRPr="00B228A0">
              <w:t>June 2014</w:t>
            </w:r>
          </w:p>
        </w:tc>
      </w:tr>
      <w:tr w:rsidR="0000655B" w:rsidTr="00FC1524">
        <w:tc>
          <w:tcPr>
            <w:tcW w:w="3369" w:type="dxa"/>
          </w:tcPr>
          <w:p w:rsidR="0000655B" w:rsidRPr="00B9555A" w:rsidRDefault="0000655B" w:rsidP="00FC1524">
            <w:pPr>
              <w:rPr>
                <w:b/>
              </w:rPr>
            </w:pPr>
            <w:r w:rsidRPr="00B9555A">
              <w:rPr>
                <w:b/>
              </w:rPr>
              <w:t>Next Meeting Date</w:t>
            </w:r>
          </w:p>
        </w:tc>
        <w:tc>
          <w:tcPr>
            <w:tcW w:w="5873" w:type="dxa"/>
          </w:tcPr>
          <w:p w:rsidR="0000655B" w:rsidRPr="00B228A0" w:rsidRDefault="0000655B" w:rsidP="00EE38F7">
            <w:r w:rsidRPr="00B228A0">
              <w:t>22</w:t>
            </w:r>
            <w:r w:rsidR="00EE38F7" w:rsidRPr="00EE38F7">
              <w:rPr>
                <w:vertAlign w:val="superscript"/>
              </w:rPr>
              <w:t>nd</w:t>
            </w:r>
            <w:r w:rsidR="00EE38F7">
              <w:t xml:space="preserve"> </w:t>
            </w:r>
            <w:r w:rsidRPr="00B228A0">
              <w:t>October 2014</w:t>
            </w:r>
          </w:p>
        </w:tc>
      </w:tr>
      <w:tr w:rsidR="0000655B" w:rsidTr="00FC1524">
        <w:tc>
          <w:tcPr>
            <w:tcW w:w="3369" w:type="dxa"/>
          </w:tcPr>
          <w:p w:rsidR="0000655B" w:rsidRPr="00B9555A" w:rsidRDefault="0000655B" w:rsidP="00FC1524">
            <w:pPr>
              <w:rPr>
                <w:b/>
              </w:rPr>
            </w:pPr>
            <w:r w:rsidRPr="00B9555A">
              <w:rPr>
                <w:b/>
              </w:rPr>
              <w:t>Website</w:t>
            </w:r>
            <w:r>
              <w:rPr>
                <w:b/>
              </w:rPr>
              <w:t xml:space="preserve"> Address</w:t>
            </w:r>
          </w:p>
        </w:tc>
        <w:tc>
          <w:tcPr>
            <w:tcW w:w="5873" w:type="dxa"/>
          </w:tcPr>
          <w:p w:rsidR="00EE38F7" w:rsidRPr="00B228A0" w:rsidRDefault="00493322" w:rsidP="00FC1524">
            <w:hyperlink r:id="rId17" w:history="1">
              <w:r w:rsidR="00EE38F7" w:rsidRPr="00B61D05">
                <w:rPr>
                  <w:rStyle w:val="Hyperlink"/>
                </w:rPr>
                <w:t>https://www.oxfordshire.gov.uk/cms/content/oxfordshire-stronger-communities-alliance</w:t>
              </w:r>
            </w:hyperlink>
          </w:p>
        </w:tc>
      </w:tr>
      <w:tr w:rsidR="0000655B" w:rsidTr="00FC1524">
        <w:tc>
          <w:tcPr>
            <w:tcW w:w="3369" w:type="dxa"/>
          </w:tcPr>
          <w:p w:rsidR="0000655B" w:rsidRPr="00B9555A" w:rsidRDefault="0000655B" w:rsidP="00FC1524">
            <w:pPr>
              <w:rPr>
                <w:b/>
              </w:rPr>
            </w:pPr>
            <w:r>
              <w:rPr>
                <w:b/>
              </w:rPr>
              <w:t>Governance Arrangements</w:t>
            </w:r>
          </w:p>
        </w:tc>
        <w:tc>
          <w:tcPr>
            <w:tcW w:w="5873" w:type="dxa"/>
          </w:tcPr>
          <w:p w:rsidR="0000655B" w:rsidRPr="00B9555A" w:rsidRDefault="0000655B" w:rsidP="00FC1524">
            <w:pPr>
              <w:rPr>
                <w:b/>
              </w:rPr>
            </w:pPr>
            <w:r>
              <w:t>The OSCA brings together 23 members from voluntary sector support providers, faith groups, representatives of local councils, the NHS, military and police. OSCA Partnership meetings are held three times a year.</w:t>
            </w:r>
          </w:p>
        </w:tc>
      </w:tr>
      <w:tr w:rsidR="0000655B" w:rsidTr="00FC1524">
        <w:tc>
          <w:tcPr>
            <w:tcW w:w="9242" w:type="dxa"/>
            <w:gridSpan w:val="2"/>
          </w:tcPr>
          <w:p w:rsidR="0000655B" w:rsidRPr="00765F88" w:rsidRDefault="0000655B" w:rsidP="00FC1524">
            <w:pPr>
              <w:rPr>
                <w:b/>
              </w:rPr>
            </w:pPr>
            <w:r w:rsidRPr="00765F88">
              <w:rPr>
                <w:b/>
              </w:rPr>
              <w:t>The current focus for the Partnership</w:t>
            </w:r>
          </w:p>
        </w:tc>
      </w:tr>
      <w:tr w:rsidR="0000655B" w:rsidTr="00FC1524">
        <w:tc>
          <w:tcPr>
            <w:tcW w:w="9242" w:type="dxa"/>
            <w:gridSpan w:val="2"/>
          </w:tcPr>
          <w:p w:rsidR="0000655B" w:rsidRDefault="0000655B" w:rsidP="00FC1524"/>
          <w:p w:rsidR="0000655B" w:rsidRDefault="0000655B" w:rsidP="00FC1524">
            <w:r>
              <w:t>The focus for OSCA for the forthcoming year is:</w:t>
            </w:r>
          </w:p>
          <w:p w:rsidR="0000655B" w:rsidRDefault="0000655B" w:rsidP="00FC1524"/>
          <w:p w:rsidR="0000655B" w:rsidRDefault="0000655B" w:rsidP="0000655B">
            <w:pPr>
              <w:pStyle w:val="ListParagraph"/>
              <w:numPr>
                <w:ilvl w:val="0"/>
                <w:numId w:val="17"/>
              </w:numPr>
            </w:pPr>
            <w:r>
              <w:t>Developing capacity and capability within the voluntary sector</w:t>
            </w:r>
          </w:p>
          <w:p w:rsidR="0000655B" w:rsidRDefault="0000655B" w:rsidP="0000655B">
            <w:pPr>
              <w:pStyle w:val="ListParagraph"/>
              <w:numPr>
                <w:ilvl w:val="0"/>
                <w:numId w:val="17"/>
              </w:numPr>
            </w:pPr>
            <w:r>
              <w:t>Raising the profile of the Voluntary Sector as deliverers</w:t>
            </w:r>
          </w:p>
          <w:p w:rsidR="0000655B" w:rsidRDefault="0000655B" w:rsidP="0000655B">
            <w:pPr>
              <w:pStyle w:val="ListParagraph"/>
              <w:numPr>
                <w:ilvl w:val="0"/>
                <w:numId w:val="17"/>
              </w:numPr>
            </w:pPr>
            <w:r>
              <w:t>Shaping and organising to be able to influence commissioning</w:t>
            </w:r>
          </w:p>
          <w:p w:rsidR="0000655B" w:rsidRDefault="0000655B" w:rsidP="00FC1524"/>
          <w:p w:rsidR="0000655B" w:rsidRDefault="0000655B" w:rsidP="000B3569">
            <w:r>
              <w:t>This will be supported by Oxfordshire Community Voluntary Action and Oxfordshire Rural Community Council along with Oxfordshire Community Foundation.</w:t>
            </w:r>
          </w:p>
          <w:p w:rsidR="000B3569" w:rsidRPr="00EF33D3" w:rsidRDefault="000B3569" w:rsidP="000B3569">
            <w:pPr>
              <w:rPr>
                <w:rFonts w:eastAsia="Times New Roman"/>
                <w:lang w:eastAsia="en-GB"/>
              </w:rPr>
            </w:pPr>
          </w:p>
        </w:tc>
      </w:tr>
      <w:tr w:rsidR="0000655B" w:rsidTr="00FC1524">
        <w:trPr>
          <w:trHeight w:val="293"/>
        </w:trPr>
        <w:tc>
          <w:tcPr>
            <w:tcW w:w="9242" w:type="dxa"/>
            <w:gridSpan w:val="2"/>
          </w:tcPr>
          <w:p w:rsidR="0000655B" w:rsidRPr="00765F88" w:rsidRDefault="0000655B" w:rsidP="00FC1524">
            <w:pPr>
              <w:rPr>
                <w:b/>
              </w:rPr>
            </w:pPr>
            <w:r w:rsidRPr="00765F88">
              <w:rPr>
                <w:b/>
              </w:rPr>
              <w:t>The Partnership’s key achievements in the last year</w:t>
            </w:r>
          </w:p>
        </w:tc>
      </w:tr>
      <w:tr w:rsidR="0000655B" w:rsidTr="00FC1524">
        <w:tc>
          <w:tcPr>
            <w:tcW w:w="9242" w:type="dxa"/>
            <w:gridSpan w:val="2"/>
          </w:tcPr>
          <w:p w:rsidR="0000655B" w:rsidRDefault="0000655B" w:rsidP="00FC1524"/>
          <w:p w:rsidR="0000655B" w:rsidRDefault="0000655B" w:rsidP="00FC1524">
            <w:r>
              <w:t>OSCA has continued to build capacity amongst the voluntary and community sector organisations it represents.  It has been promoting new funding opportunities and working through the member organisations to work with smaller organisations and communities building sustainability and capacity.</w:t>
            </w:r>
          </w:p>
          <w:p w:rsidR="0000655B" w:rsidRDefault="0000655B" w:rsidP="00FC1524"/>
          <w:p w:rsidR="0000655B" w:rsidRDefault="0000655B" w:rsidP="00FC1524">
            <w:r>
              <w:t>Community Transport - The partnership have been instrumental in promoting and supporting the community transport review and this has helped to shape the way community transport will be delivered in the future.  As part of this the partnership has also considered the mini bus audit identifying the usage, costs and potential shared used.</w:t>
            </w:r>
          </w:p>
          <w:p w:rsidR="0000655B" w:rsidRDefault="0000655B" w:rsidP="00FC1524"/>
          <w:p w:rsidR="0000655B" w:rsidRDefault="0000655B" w:rsidP="00FC1524">
            <w:r>
              <w:t>Community Information Network – The partners disseminated information of the launch of the community information network and worked with communities wanting to establish a group.  This has resulted in some new groups coming together, therefore building community resilience.</w:t>
            </w:r>
          </w:p>
          <w:p w:rsidR="0000655B" w:rsidRDefault="0000655B" w:rsidP="00FC1524"/>
        </w:tc>
      </w:tr>
      <w:tr w:rsidR="0000655B" w:rsidTr="00FC1524">
        <w:tc>
          <w:tcPr>
            <w:tcW w:w="9242" w:type="dxa"/>
            <w:gridSpan w:val="2"/>
          </w:tcPr>
          <w:p w:rsidR="0000655B" w:rsidRPr="004B3CEE" w:rsidRDefault="0000655B" w:rsidP="00FC1524">
            <w:pPr>
              <w:rPr>
                <w:b/>
                <w:highlight w:val="yellow"/>
              </w:rPr>
            </w:pPr>
            <w:r w:rsidRPr="00E2298C">
              <w:rPr>
                <w:b/>
              </w:rPr>
              <w:t>The aims for the Partnership in the year ahead</w:t>
            </w:r>
          </w:p>
        </w:tc>
      </w:tr>
      <w:tr w:rsidR="0000655B" w:rsidTr="00FC1524">
        <w:tc>
          <w:tcPr>
            <w:tcW w:w="9242" w:type="dxa"/>
            <w:gridSpan w:val="2"/>
          </w:tcPr>
          <w:p w:rsidR="0000655B" w:rsidRPr="00B228A0" w:rsidRDefault="0000655B" w:rsidP="00FC1524">
            <w:pPr>
              <w:pStyle w:val="Default"/>
              <w:rPr>
                <w:color w:val="auto"/>
              </w:rPr>
            </w:pPr>
          </w:p>
          <w:p w:rsidR="0000655B" w:rsidRPr="00B228A0" w:rsidRDefault="0000655B" w:rsidP="0000655B">
            <w:pPr>
              <w:pStyle w:val="Default"/>
              <w:numPr>
                <w:ilvl w:val="0"/>
                <w:numId w:val="18"/>
              </w:numPr>
            </w:pPr>
            <w:r w:rsidRPr="00B228A0">
              <w:t>The VCS and commissioners will continue to work in partnership to facilitate the sector</w:t>
            </w:r>
            <w:r>
              <w:t>’</w:t>
            </w:r>
            <w:r w:rsidRPr="00B228A0">
              <w:t xml:space="preserve">s access to public sector contracts. Commissioners will work with the sector to increase their understanding of the procurement process and develop commissioning to reduce disadvantages that the sector identifies from new EU procurement rules. As the trend for larger contracts continues OSCA will need to provide the infrastructure for VCS partners to collaborate to ensure they have the experience, capacity and financial reserves to bid for contracts. </w:t>
            </w:r>
          </w:p>
          <w:p w:rsidR="0000655B" w:rsidRPr="00B228A0" w:rsidRDefault="0000655B" w:rsidP="00FC1524">
            <w:pPr>
              <w:pStyle w:val="Default"/>
              <w:rPr>
                <w:color w:val="auto"/>
              </w:rPr>
            </w:pPr>
          </w:p>
          <w:p w:rsidR="0000655B" w:rsidRDefault="0000655B" w:rsidP="0000655B">
            <w:pPr>
              <w:pStyle w:val="Default"/>
              <w:numPr>
                <w:ilvl w:val="0"/>
                <w:numId w:val="18"/>
              </w:numPr>
            </w:pPr>
            <w:r w:rsidRPr="00B228A0">
              <w:t xml:space="preserve">Securing maximum funding available for the sector through supporting sustainable economic growth and bids for European funding through engagement with </w:t>
            </w:r>
            <w:r w:rsidR="00414A15">
              <w:t xml:space="preserve">the </w:t>
            </w:r>
            <w:r w:rsidRPr="00B228A0">
              <w:t>Oxfordshire L</w:t>
            </w:r>
            <w:r w:rsidR="00414A15">
              <w:t xml:space="preserve">ocal </w:t>
            </w:r>
            <w:r w:rsidRPr="00B228A0">
              <w:t>E</w:t>
            </w:r>
            <w:r w:rsidR="00414A15">
              <w:t xml:space="preserve">nterprise </w:t>
            </w:r>
            <w:r w:rsidRPr="00B228A0">
              <w:t>P</w:t>
            </w:r>
            <w:r w:rsidR="00414A15">
              <w:t xml:space="preserve">artnership (LEP). </w:t>
            </w:r>
            <w:r w:rsidRPr="00B228A0">
              <w:t>OSCA and the LEP will need to collaborate to ensure proposals developed consider the local needs and how V</w:t>
            </w:r>
            <w:r w:rsidR="00414A15">
              <w:t xml:space="preserve">oluntary and </w:t>
            </w:r>
            <w:r w:rsidRPr="00B228A0">
              <w:t>C</w:t>
            </w:r>
            <w:r w:rsidR="00414A15">
              <w:t xml:space="preserve">ommunity </w:t>
            </w:r>
            <w:r w:rsidRPr="00B228A0">
              <w:t>S</w:t>
            </w:r>
            <w:r w:rsidR="00414A15">
              <w:t>ector</w:t>
            </w:r>
            <w:r w:rsidRPr="00B228A0">
              <w:t xml:space="preserve"> organisations can support activity and economic growth so that the full potential of schemes are realised. </w:t>
            </w:r>
          </w:p>
          <w:p w:rsidR="0000655B" w:rsidRDefault="0000655B" w:rsidP="00FC1524">
            <w:pPr>
              <w:pStyle w:val="ListParagraph"/>
            </w:pPr>
          </w:p>
          <w:p w:rsidR="0000655B" w:rsidRPr="00B228A0" w:rsidRDefault="0000655B" w:rsidP="0000655B">
            <w:pPr>
              <w:pStyle w:val="Default"/>
              <w:numPr>
                <w:ilvl w:val="0"/>
                <w:numId w:val="18"/>
              </w:numPr>
            </w:pPr>
            <w:r>
              <w:t>To facilitate the sector in bidding for external funding through cooperation.</w:t>
            </w:r>
          </w:p>
          <w:p w:rsidR="0000655B" w:rsidRDefault="0000655B" w:rsidP="00FC1524">
            <w:pPr>
              <w:pStyle w:val="ListParagraph"/>
            </w:pPr>
          </w:p>
        </w:tc>
      </w:tr>
      <w:tr w:rsidR="0000655B" w:rsidTr="00FC1524">
        <w:tc>
          <w:tcPr>
            <w:tcW w:w="9242" w:type="dxa"/>
            <w:gridSpan w:val="2"/>
          </w:tcPr>
          <w:p w:rsidR="0000655B" w:rsidRPr="00425AB4" w:rsidRDefault="0000655B" w:rsidP="00FC1524">
            <w:pPr>
              <w:rPr>
                <w:b/>
              </w:rPr>
            </w:pPr>
            <w:r w:rsidRPr="00425AB4">
              <w:rPr>
                <w:b/>
              </w:rPr>
              <w:t>The key challenges for the Partnership and how these will be addressed going forward</w:t>
            </w:r>
            <w:r>
              <w:rPr>
                <w:b/>
              </w:rPr>
              <w:t>.</w:t>
            </w:r>
          </w:p>
        </w:tc>
      </w:tr>
      <w:tr w:rsidR="0000655B" w:rsidTr="00FC1524">
        <w:trPr>
          <w:trHeight w:val="70"/>
        </w:trPr>
        <w:tc>
          <w:tcPr>
            <w:tcW w:w="9242" w:type="dxa"/>
            <w:gridSpan w:val="2"/>
          </w:tcPr>
          <w:p w:rsidR="0000655B" w:rsidRDefault="0000655B" w:rsidP="00FC1524">
            <w:pPr>
              <w:pStyle w:val="Default"/>
              <w:rPr>
                <w:color w:val="auto"/>
              </w:rPr>
            </w:pPr>
          </w:p>
          <w:p w:rsidR="0000655B" w:rsidRDefault="0000655B" w:rsidP="0000655B">
            <w:pPr>
              <w:pStyle w:val="Default"/>
              <w:numPr>
                <w:ilvl w:val="0"/>
                <w:numId w:val="19"/>
              </w:numPr>
            </w:pPr>
            <w:r w:rsidRPr="00414FE7">
              <w:t xml:space="preserve">Funding streams for the VCS are continually being reduced at a time when there is an increasing demand for their services. OSCA will address this challenge by promoting access to new funding streams. </w:t>
            </w:r>
          </w:p>
          <w:p w:rsidR="0000655B" w:rsidRPr="00414FE7" w:rsidRDefault="0000655B" w:rsidP="00FC1524">
            <w:pPr>
              <w:pStyle w:val="Default"/>
              <w:ind w:left="720"/>
            </w:pPr>
          </w:p>
          <w:p w:rsidR="0000655B" w:rsidRPr="00414FE7" w:rsidRDefault="0000655B" w:rsidP="0000655B">
            <w:pPr>
              <w:pStyle w:val="Default"/>
              <w:numPr>
                <w:ilvl w:val="0"/>
                <w:numId w:val="19"/>
              </w:numPr>
            </w:pPr>
            <w:r w:rsidRPr="00414FE7">
              <w:t xml:space="preserve">OSCA will need to build capacity and resilience in the sector to be able to effectively compete in a competitive market place for commissioning services.  </w:t>
            </w:r>
          </w:p>
          <w:p w:rsidR="0000655B" w:rsidRDefault="0000655B" w:rsidP="00FC1524"/>
        </w:tc>
      </w:tr>
    </w:tbl>
    <w:p w:rsidR="0000655B" w:rsidRDefault="0000655B" w:rsidP="0000655B"/>
    <w:p w:rsidR="0000655B" w:rsidRDefault="0000655B">
      <w:r>
        <w:br w:type="page"/>
      </w:r>
    </w:p>
    <w:tbl>
      <w:tblPr>
        <w:tblStyle w:val="TableGrid"/>
        <w:tblW w:w="0" w:type="auto"/>
        <w:tblLook w:val="04A0" w:firstRow="1" w:lastRow="0" w:firstColumn="1" w:lastColumn="0" w:noHBand="0" w:noVBand="1"/>
      </w:tblPr>
      <w:tblGrid>
        <w:gridCol w:w="3369"/>
        <w:gridCol w:w="5873"/>
      </w:tblGrid>
      <w:tr w:rsidR="0000655B" w:rsidTr="00FC1524">
        <w:tc>
          <w:tcPr>
            <w:tcW w:w="3369" w:type="dxa"/>
          </w:tcPr>
          <w:p w:rsidR="0000655B" w:rsidRPr="00A82CC1" w:rsidRDefault="0000655B" w:rsidP="00FC1524">
            <w:pPr>
              <w:rPr>
                <w:b/>
              </w:rPr>
            </w:pPr>
            <w:r w:rsidRPr="00A82CC1">
              <w:rPr>
                <w:b/>
              </w:rPr>
              <w:t xml:space="preserve">Partnership Name </w:t>
            </w:r>
          </w:p>
        </w:tc>
        <w:tc>
          <w:tcPr>
            <w:tcW w:w="5873" w:type="dxa"/>
          </w:tcPr>
          <w:p w:rsidR="0000655B" w:rsidRPr="00A63A5C" w:rsidRDefault="0000655B" w:rsidP="00FC1524">
            <w:pPr>
              <w:rPr>
                <w:b/>
              </w:rPr>
            </w:pPr>
            <w:r>
              <w:rPr>
                <w:b/>
              </w:rPr>
              <w:t>Oxfordshire Safeguarding Children Board</w:t>
            </w:r>
          </w:p>
        </w:tc>
      </w:tr>
      <w:tr w:rsidR="0000655B" w:rsidTr="00FC1524">
        <w:trPr>
          <w:trHeight w:val="217"/>
        </w:trPr>
        <w:tc>
          <w:tcPr>
            <w:tcW w:w="3369" w:type="dxa"/>
          </w:tcPr>
          <w:p w:rsidR="0000655B" w:rsidRPr="00A82CC1" w:rsidRDefault="0000655B" w:rsidP="00FC1524">
            <w:pPr>
              <w:rPr>
                <w:b/>
              </w:rPr>
            </w:pPr>
            <w:r w:rsidRPr="00A82CC1">
              <w:rPr>
                <w:b/>
              </w:rPr>
              <w:t xml:space="preserve">Date of completion </w:t>
            </w:r>
          </w:p>
        </w:tc>
        <w:tc>
          <w:tcPr>
            <w:tcW w:w="5873" w:type="dxa"/>
          </w:tcPr>
          <w:p w:rsidR="0000655B" w:rsidRPr="00FD3E19" w:rsidRDefault="00EE38F7" w:rsidP="00EE38F7">
            <w:r>
              <w:t>31</w:t>
            </w:r>
            <w:r w:rsidRPr="00EE38F7">
              <w:rPr>
                <w:vertAlign w:val="superscript"/>
              </w:rPr>
              <w:t>st</w:t>
            </w:r>
            <w:r>
              <w:t xml:space="preserve"> July 2014 </w:t>
            </w:r>
            <w:r w:rsidRPr="00212523">
              <w:rPr>
                <w:i/>
                <w:sz w:val="20"/>
                <w:szCs w:val="20"/>
              </w:rPr>
              <w:t xml:space="preserve">(updated </w:t>
            </w:r>
            <w:r>
              <w:rPr>
                <w:i/>
                <w:sz w:val="20"/>
                <w:szCs w:val="20"/>
              </w:rPr>
              <w:t>23rd</w:t>
            </w:r>
            <w:r w:rsidRPr="00212523">
              <w:rPr>
                <w:i/>
                <w:sz w:val="20"/>
                <w:szCs w:val="20"/>
              </w:rPr>
              <w:t xml:space="preserve"> September 2014)</w:t>
            </w:r>
          </w:p>
        </w:tc>
      </w:tr>
      <w:tr w:rsidR="0000655B" w:rsidTr="00FC1524">
        <w:tc>
          <w:tcPr>
            <w:tcW w:w="3369" w:type="dxa"/>
          </w:tcPr>
          <w:p w:rsidR="0000655B" w:rsidRPr="00A82CC1" w:rsidRDefault="0000655B" w:rsidP="00FC1524">
            <w:pPr>
              <w:rPr>
                <w:b/>
              </w:rPr>
            </w:pPr>
            <w:r w:rsidRPr="00A82CC1">
              <w:rPr>
                <w:b/>
              </w:rPr>
              <w:t xml:space="preserve">Chairman </w:t>
            </w:r>
          </w:p>
        </w:tc>
        <w:tc>
          <w:tcPr>
            <w:tcW w:w="5873" w:type="dxa"/>
          </w:tcPr>
          <w:p w:rsidR="0000655B" w:rsidRPr="00FD3E19" w:rsidRDefault="0000655B" w:rsidP="00FC1524">
            <w:r w:rsidRPr="00FD3E19">
              <w:t>Maggie Blyth</w:t>
            </w:r>
          </w:p>
        </w:tc>
      </w:tr>
      <w:tr w:rsidR="0000655B" w:rsidTr="00FC1524">
        <w:tc>
          <w:tcPr>
            <w:tcW w:w="3369" w:type="dxa"/>
          </w:tcPr>
          <w:p w:rsidR="0000655B" w:rsidRDefault="0000655B" w:rsidP="00FC1524">
            <w:pPr>
              <w:rPr>
                <w:b/>
              </w:rPr>
            </w:pPr>
            <w:r>
              <w:rPr>
                <w:b/>
              </w:rPr>
              <w:t>OCC Lead Member</w:t>
            </w:r>
          </w:p>
        </w:tc>
        <w:tc>
          <w:tcPr>
            <w:tcW w:w="5873" w:type="dxa"/>
          </w:tcPr>
          <w:p w:rsidR="0000655B" w:rsidRPr="00FD3E19" w:rsidRDefault="0000655B" w:rsidP="00FC1524">
            <w:r w:rsidRPr="00FD3E19">
              <w:t>Melinda Tilley</w:t>
            </w:r>
          </w:p>
        </w:tc>
      </w:tr>
      <w:tr w:rsidR="0000655B" w:rsidTr="00FC1524">
        <w:tc>
          <w:tcPr>
            <w:tcW w:w="3369" w:type="dxa"/>
          </w:tcPr>
          <w:p w:rsidR="0000655B" w:rsidRPr="00B9555A" w:rsidRDefault="0000655B" w:rsidP="00FC1524">
            <w:pPr>
              <w:rPr>
                <w:b/>
              </w:rPr>
            </w:pPr>
            <w:r>
              <w:rPr>
                <w:b/>
              </w:rPr>
              <w:t>OCC Lead Officer</w:t>
            </w:r>
          </w:p>
        </w:tc>
        <w:tc>
          <w:tcPr>
            <w:tcW w:w="5873" w:type="dxa"/>
          </w:tcPr>
          <w:p w:rsidR="0000655B" w:rsidRPr="00FD3E19" w:rsidRDefault="00414A15" w:rsidP="00FC1524">
            <w:r>
              <w:t>Lucy Butler</w:t>
            </w:r>
          </w:p>
        </w:tc>
      </w:tr>
      <w:tr w:rsidR="0000655B" w:rsidTr="00FC1524">
        <w:tc>
          <w:tcPr>
            <w:tcW w:w="3369" w:type="dxa"/>
          </w:tcPr>
          <w:p w:rsidR="0000655B" w:rsidRPr="00B9555A" w:rsidRDefault="0000655B" w:rsidP="00FC1524">
            <w:pPr>
              <w:rPr>
                <w:b/>
              </w:rPr>
            </w:pPr>
            <w:r w:rsidRPr="00B9555A">
              <w:rPr>
                <w:b/>
              </w:rPr>
              <w:t>Last Meeting Date</w:t>
            </w:r>
          </w:p>
        </w:tc>
        <w:tc>
          <w:tcPr>
            <w:tcW w:w="5873" w:type="dxa"/>
          </w:tcPr>
          <w:p w:rsidR="0000655B" w:rsidRPr="00FD3E19" w:rsidRDefault="00EE38F7" w:rsidP="00FC1524">
            <w:r>
              <w:t>28</w:t>
            </w:r>
            <w:r w:rsidRPr="00EE38F7">
              <w:rPr>
                <w:vertAlign w:val="superscript"/>
              </w:rPr>
              <w:t>th</w:t>
            </w:r>
            <w:r>
              <w:t xml:space="preserve"> July 2014</w:t>
            </w:r>
          </w:p>
        </w:tc>
      </w:tr>
      <w:tr w:rsidR="0000655B" w:rsidTr="00FC1524">
        <w:tc>
          <w:tcPr>
            <w:tcW w:w="3369" w:type="dxa"/>
          </w:tcPr>
          <w:p w:rsidR="0000655B" w:rsidRPr="00B9555A" w:rsidRDefault="0000655B" w:rsidP="00FC1524">
            <w:pPr>
              <w:rPr>
                <w:b/>
              </w:rPr>
            </w:pPr>
            <w:r w:rsidRPr="00B9555A">
              <w:rPr>
                <w:b/>
              </w:rPr>
              <w:t>Next Meeting Date</w:t>
            </w:r>
          </w:p>
        </w:tc>
        <w:tc>
          <w:tcPr>
            <w:tcW w:w="5873" w:type="dxa"/>
          </w:tcPr>
          <w:p w:rsidR="0000655B" w:rsidRPr="00FD3E19" w:rsidRDefault="00EE38F7" w:rsidP="00FC1524">
            <w:r>
              <w:t>28</w:t>
            </w:r>
            <w:r w:rsidRPr="00EE38F7">
              <w:rPr>
                <w:vertAlign w:val="superscript"/>
              </w:rPr>
              <w:t>th</w:t>
            </w:r>
            <w:r>
              <w:t xml:space="preserve"> November 2014</w:t>
            </w:r>
          </w:p>
        </w:tc>
      </w:tr>
      <w:tr w:rsidR="0000655B" w:rsidTr="00FC1524">
        <w:tc>
          <w:tcPr>
            <w:tcW w:w="3369" w:type="dxa"/>
          </w:tcPr>
          <w:p w:rsidR="0000655B" w:rsidRPr="00B9555A" w:rsidRDefault="0000655B" w:rsidP="00FC1524">
            <w:pPr>
              <w:rPr>
                <w:b/>
              </w:rPr>
            </w:pPr>
            <w:r w:rsidRPr="00B9555A">
              <w:rPr>
                <w:b/>
              </w:rPr>
              <w:t>Website</w:t>
            </w:r>
            <w:r>
              <w:rPr>
                <w:b/>
              </w:rPr>
              <w:t xml:space="preserve"> Address</w:t>
            </w:r>
          </w:p>
        </w:tc>
        <w:tc>
          <w:tcPr>
            <w:tcW w:w="5873" w:type="dxa"/>
          </w:tcPr>
          <w:p w:rsidR="0000655B" w:rsidRPr="00FD3E19" w:rsidRDefault="00493322" w:rsidP="00FC1524">
            <w:hyperlink r:id="rId18" w:history="1">
              <w:r w:rsidR="0000655B" w:rsidRPr="00FD3E19">
                <w:rPr>
                  <w:rStyle w:val="Hyperlink"/>
                </w:rPr>
                <w:t>www.oscb.org.uk</w:t>
              </w:r>
            </w:hyperlink>
          </w:p>
        </w:tc>
      </w:tr>
      <w:tr w:rsidR="0000655B" w:rsidTr="00FC1524">
        <w:tc>
          <w:tcPr>
            <w:tcW w:w="3369" w:type="dxa"/>
          </w:tcPr>
          <w:p w:rsidR="0000655B" w:rsidRPr="00B9555A" w:rsidRDefault="0000655B" w:rsidP="00FC1524">
            <w:pPr>
              <w:rPr>
                <w:b/>
              </w:rPr>
            </w:pPr>
            <w:r>
              <w:rPr>
                <w:b/>
              </w:rPr>
              <w:t>Governance Arrangements</w:t>
            </w:r>
          </w:p>
        </w:tc>
        <w:tc>
          <w:tcPr>
            <w:tcW w:w="5873" w:type="dxa"/>
          </w:tcPr>
          <w:p w:rsidR="0000655B" w:rsidRPr="00497AE0" w:rsidRDefault="0018796A" w:rsidP="0064029F">
            <w:r w:rsidRPr="00FD3E19">
              <w:t>The Oxfordshire Safeguarding Children Board</w:t>
            </w:r>
            <w:r>
              <w:t xml:space="preserve"> (OCSB) </w:t>
            </w:r>
            <w:r w:rsidR="0000655B">
              <w:t>is led by an independent chair and includes representation from all six local authorities in Oxfordshire, as well as Probation, Police, OCCG, Oxford University Hospitals NHS Trust, Oxford Health NHS FT, schools and FE colleges.   The Board meets 3 times per year and is supported by an Executive Group that meets 6 times per year.</w:t>
            </w:r>
          </w:p>
        </w:tc>
      </w:tr>
      <w:tr w:rsidR="0000655B" w:rsidTr="00FC1524">
        <w:tc>
          <w:tcPr>
            <w:tcW w:w="9242" w:type="dxa"/>
            <w:gridSpan w:val="2"/>
          </w:tcPr>
          <w:p w:rsidR="0000655B" w:rsidRPr="00765F88" w:rsidRDefault="0000655B" w:rsidP="00FC1524">
            <w:pPr>
              <w:rPr>
                <w:b/>
              </w:rPr>
            </w:pPr>
            <w:r w:rsidRPr="00765F88">
              <w:rPr>
                <w:b/>
              </w:rPr>
              <w:t>The current focus for the Partnership</w:t>
            </w:r>
          </w:p>
        </w:tc>
      </w:tr>
      <w:tr w:rsidR="0000655B" w:rsidTr="00FC1524">
        <w:tc>
          <w:tcPr>
            <w:tcW w:w="9242" w:type="dxa"/>
            <w:gridSpan w:val="2"/>
          </w:tcPr>
          <w:p w:rsidR="0000655B" w:rsidRDefault="0000655B" w:rsidP="00FC1524"/>
          <w:p w:rsidR="0000655B" w:rsidRDefault="0000655B" w:rsidP="00FC1524">
            <w:r>
              <w:rPr>
                <w:b/>
              </w:rPr>
              <w:t xml:space="preserve">OSCB </w:t>
            </w:r>
            <w:r w:rsidRPr="001D3477">
              <w:rPr>
                <w:b/>
              </w:rPr>
              <w:t xml:space="preserve">remit: </w:t>
            </w:r>
            <w:r>
              <w:rPr>
                <w:b/>
              </w:rPr>
              <w:t xml:space="preserve"> </w:t>
            </w:r>
            <w:r w:rsidRPr="001D3477">
              <w:t xml:space="preserve">To co-ordinate and ensure the effectiveness of what is done by each agency on the Board for the purposes of safeguarding and promoting the welfare of children in Oxfordshire. </w:t>
            </w:r>
            <w:r>
              <w:t xml:space="preserve"> This is done in two ways. </w:t>
            </w:r>
          </w:p>
          <w:p w:rsidR="0000655B" w:rsidRPr="001D3477" w:rsidRDefault="0000655B" w:rsidP="00FC1524"/>
          <w:p w:rsidR="0000655B" w:rsidRPr="00AE4B2E" w:rsidRDefault="0000655B" w:rsidP="0000655B">
            <w:pPr>
              <w:pStyle w:val="ListParagraph"/>
              <w:numPr>
                <w:ilvl w:val="0"/>
                <w:numId w:val="24"/>
              </w:numPr>
              <w:rPr>
                <w:b/>
                <w:bCs/>
              </w:rPr>
            </w:pPr>
            <w:r>
              <w:rPr>
                <w:b/>
                <w:bCs/>
              </w:rPr>
              <w:t>C</w:t>
            </w:r>
            <w:r w:rsidRPr="00AE4B2E">
              <w:rPr>
                <w:b/>
                <w:bCs/>
              </w:rPr>
              <w:t>o-ordinat</w:t>
            </w:r>
            <w:r>
              <w:rPr>
                <w:b/>
                <w:bCs/>
              </w:rPr>
              <w:t>ion of</w:t>
            </w:r>
            <w:r w:rsidRPr="00AE4B2E">
              <w:rPr>
                <w:b/>
                <w:bCs/>
              </w:rPr>
              <w:t xml:space="preserve"> local work by: </w:t>
            </w:r>
          </w:p>
          <w:p w:rsidR="0000655B" w:rsidRPr="0018796A" w:rsidRDefault="0000655B" w:rsidP="00FD3E19">
            <w:pPr>
              <w:pStyle w:val="ListParagraph"/>
              <w:numPr>
                <w:ilvl w:val="0"/>
                <w:numId w:val="49"/>
              </w:numPr>
              <w:rPr>
                <w:b/>
                <w:bCs/>
              </w:rPr>
            </w:pPr>
            <w:r w:rsidRPr="0018796A">
              <w:rPr>
                <w:bCs/>
              </w:rPr>
              <w:t>D</w:t>
            </w:r>
            <w:r w:rsidRPr="001D3477">
              <w:t>eveloping robust policies and procedures.</w:t>
            </w:r>
          </w:p>
          <w:p w:rsidR="0000655B" w:rsidRPr="0018796A" w:rsidRDefault="0000655B" w:rsidP="00FD3E19">
            <w:pPr>
              <w:pStyle w:val="ListParagraph"/>
              <w:numPr>
                <w:ilvl w:val="0"/>
                <w:numId w:val="49"/>
              </w:numPr>
              <w:rPr>
                <w:b/>
                <w:bCs/>
              </w:rPr>
            </w:pPr>
            <w:r w:rsidRPr="001D3477">
              <w:t>Participating in the planning of services for children in Oxfordshire.</w:t>
            </w:r>
          </w:p>
          <w:p w:rsidR="0000655B" w:rsidRPr="0018796A" w:rsidRDefault="0000655B" w:rsidP="00FD3E19">
            <w:pPr>
              <w:pStyle w:val="ListParagraph"/>
              <w:numPr>
                <w:ilvl w:val="0"/>
                <w:numId w:val="49"/>
              </w:numPr>
              <w:rPr>
                <w:b/>
                <w:bCs/>
              </w:rPr>
            </w:pPr>
            <w:r w:rsidRPr="001D3477">
              <w:t>Communicating the need to safeguard and promote the welfare of children and explaining how this can be done.</w:t>
            </w:r>
          </w:p>
          <w:p w:rsidR="0000655B" w:rsidRPr="001D3477" w:rsidRDefault="0000655B" w:rsidP="00FC1524"/>
          <w:p w:rsidR="0000655B" w:rsidRPr="00151393" w:rsidRDefault="0000655B" w:rsidP="0000655B">
            <w:pPr>
              <w:pStyle w:val="ListParagraph"/>
              <w:numPr>
                <w:ilvl w:val="0"/>
                <w:numId w:val="24"/>
              </w:numPr>
              <w:rPr>
                <w:b/>
                <w:bCs/>
              </w:rPr>
            </w:pPr>
            <w:r w:rsidRPr="00151393">
              <w:rPr>
                <w:b/>
                <w:bCs/>
              </w:rPr>
              <w:t xml:space="preserve">To ensure the effectiveness of that work: </w:t>
            </w:r>
          </w:p>
          <w:p w:rsidR="0000655B" w:rsidRPr="001D3477" w:rsidRDefault="0000655B" w:rsidP="00FD3E19">
            <w:pPr>
              <w:pStyle w:val="ListParagraph"/>
              <w:numPr>
                <w:ilvl w:val="0"/>
                <w:numId w:val="50"/>
              </w:numPr>
            </w:pPr>
            <w:r w:rsidRPr="001D3477">
              <w:t xml:space="preserve">Monitoring what is done by partner agencies to safeguard and promote the welfare of children. </w:t>
            </w:r>
          </w:p>
          <w:p w:rsidR="0000655B" w:rsidRPr="001D3477" w:rsidRDefault="0000655B" w:rsidP="00FD3E19">
            <w:pPr>
              <w:pStyle w:val="ListParagraph"/>
              <w:numPr>
                <w:ilvl w:val="0"/>
                <w:numId w:val="50"/>
              </w:numPr>
            </w:pPr>
            <w:r w:rsidRPr="001D3477">
              <w:t>Undertaking Serious Case Reviews and other multi-agency case reviews and sharing learning opportunities.</w:t>
            </w:r>
          </w:p>
          <w:p w:rsidR="0000655B" w:rsidRPr="001D3477" w:rsidRDefault="0000655B" w:rsidP="00FD3E19">
            <w:pPr>
              <w:pStyle w:val="ListParagraph"/>
              <w:numPr>
                <w:ilvl w:val="0"/>
                <w:numId w:val="50"/>
              </w:numPr>
            </w:pPr>
            <w:r w:rsidRPr="001D3477">
              <w:t>Collecting and analysing information about child deaths.</w:t>
            </w:r>
          </w:p>
          <w:p w:rsidR="0000655B" w:rsidRPr="001D3477" w:rsidRDefault="0000655B" w:rsidP="00FD3E19">
            <w:pPr>
              <w:pStyle w:val="ListParagraph"/>
              <w:numPr>
                <w:ilvl w:val="0"/>
                <w:numId w:val="50"/>
              </w:numPr>
            </w:pPr>
            <w:r w:rsidRPr="001D3477">
              <w:t>Publishing an annual report on the effectiveness of local arrangements to safeguard and promote the welfare of children in Oxfordshire.</w:t>
            </w:r>
          </w:p>
          <w:p w:rsidR="0000655B" w:rsidRPr="00EF33D3" w:rsidRDefault="0000655B" w:rsidP="00FC1524">
            <w:pPr>
              <w:rPr>
                <w:rFonts w:eastAsia="Times New Roman"/>
                <w:lang w:eastAsia="en-GB"/>
              </w:rPr>
            </w:pPr>
          </w:p>
        </w:tc>
      </w:tr>
      <w:tr w:rsidR="0000655B" w:rsidTr="00FC1524">
        <w:trPr>
          <w:trHeight w:val="293"/>
        </w:trPr>
        <w:tc>
          <w:tcPr>
            <w:tcW w:w="9242" w:type="dxa"/>
            <w:gridSpan w:val="2"/>
          </w:tcPr>
          <w:p w:rsidR="0000655B" w:rsidRPr="00765F88" w:rsidRDefault="0000655B" w:rsidP="00FC1524">
            <w:pPr>
              <w:rPr>
                <w:b/>
              </w:rPr>
            </w:pPr>
            <w:r w:rsidRPr="00765F88">
              <w:rPr>
                <w:b/>
              </w:rPr>
              <w:t>The Partnership’s key achievements in the last year</w:t>
            </w:r>
          </w:p>
        </w:tc>
      </w:tr>
      <w:tr w:rsidR="0000655B" w:rsidTr="00FC1524">
        <w:tc>
          <w:tcPr>
            <w:tcW w:w="9242" w:type="dxa"/>
            <w:gridSpan w:val="2"/>
          </w:tcPr>
          <w:p w:rsidR="0000655B" w:rsidRDefault="0000655B" w:rsidP="00FC1524">
            <w:pPr>
              <w:rPr>
                <w:rFonts w:eastAsia="Calibri"/>
                <w:b/>
              </w:rPr>
            </w:pPr>
          </w:p>
          <w:p w:rsidR="0000655B" w:rsidRDefault="0000655B" w:rsidP="00FC1524">
            <w:r w:rsidRPr="00AE4B2E">
              <w:rPr>
                <w:rFonts w:eastAsia="Calibri"/>
                <w:b/>
              </w:rPr>
              <w:t>Ofsted Inspection:</w:t>
            </w:r>
            <w:r>
              <w:rPr>
                <w:rFonts w:eastAsia="Calibri"/>
              </w:rPr>
              <w:t xml:space="preserve"> </w:t>
            </w:r>
            <w:r w:rsidRPr="006E7E3B">
              <w:rPr>
                <w:rFonts w:eastAsia="Calibri"/>
              </w:rPr>
              <w:t xml:space="preserve">The OSCB was judged as </w:t>
            </w:r>
            <w:r w:rsidRPr="00BE5E0F">
              <w:rPr>
                <w:rFonts w:eastAsia="Calibri"/>
                <w:b/>
              </w:rPr>
              <w:t>good</w:t>
            </w:r>
            <w:r w:rsidRPr="006E7E3B">
              <w:rPr>
                <w:rFonts w:eastAsia="Calibri"/>
              </w:rPr>
              <w:t xml:space="preserve"> by Ofsted in its 2014 review of the effectiveness on the LSCB. T</w:t>
            </w:r>
            <w:r>
              <w:rPr>
                <w:rFonts w:eastAsia="Calibri"/>
              </w:rPr>
              <w:t>his provided assurances to the O</w:t>
            </w:r>
            <w:r w:rsidRPr="006E7E3B">
              <w:rPr>
                <w:rFonts w:eastAsia="Calibri"/>
              </w:rPr>
              <w:t>SCB, partners and the public that local partnership work is effective in safeguarding the welfare of children. Ofsted proposed areas for improvement for the OSCB which will be addressed via the OSCB business plan for 2014/15</w:t>
            </w:r>
          </w:p>
          <w:p w:rsidR="0000655B" w:rsidRDefault="0000655B" w:rsidP="00FC1524"/>
          <w:p w:rsidR="0000655B" w:rsidRDefault="0000655B" w:rsidP="00FC1524">
            <w:r w:rsidRPr="00AE4B2E">
              <w:rPr>
                <w:b/>
              </w:rPr>
              <w:t>Learning and Improvement:</w:t>
            </w:r>
            <w:r>
              <w:t xml:space="preserve"> Learning on areas for practice improvement through eight multi-agency audits. These were completed in partnership and reviewed over 100 different children’s cases.  They concerned:  (a) thresholds in accessing / ceasing child protection plans (b)  managing risk for vulnerable adolescents (c) supporting children where there is parental substance misuse (d) child sexual exploitation (e) children in need. These have been developed in to learning documents for practitioners. These audits have had an impact in many ways a few examples are:</w:t>
            </w:r>
          </w:p>
          <w:p w:rsidR="0000655B" w:rsidRPr="00FD3E19" w:rsidRDefault="0000655B" w:rsidP="0000655B">
            <w:pPr>
              <w:pStyle w:val="ListParagraph"/>
              <w:numPr>
                <w:ilvl w:val="0"/>
                <w:numId w:val="29"/>
              </w:numPr>
            </w:pPr>
            <w:r w:rsidRPr="00FD3E19">
              <w:t>Informing the placement strategy for children in care, ensuring that mental health partners are part of the process in keeping our most complex young people close to home</w:t>
            </w:r>
          </w:p>
          <w:p w:rsidR="0000655B" w:rsidRPr="00FD3E19" w:rsidRDefault="0000655B" w:rsidP="0000655B">
            <w:pPr>
              <w:pStyle w:val="ListParagraph"/>
              <w:numPr>
                <w:ilvl w:val="0"/>
                <w:numId w:val="29"/>
              </w:numPr>
            </w:pPr>
            <w:r w:rsidRPr="00FD3E19">
              <w:t>Renewing the thresholds booklet for Oxfordshire’s children’s workforce and introducing it into all core safeguarding courses</w:t>
            </w:r>
          </w:p>
          <w:p w:rsidR="0000655B" w:rsidRPr="00FD3E19" w:rsidRDefault="0000655B" w:rsidP="0000655B">
            <w:pPr>
              <w:pStyle w:val="ListParagraph"/>
              <w:numPr>
                <w:ilvl w:val="0"/>
                <w:numId w:val="29"/>
              </w:numPr>
            </w:pPr>
            <w:r w:rsidRPr="00FD3E19">
              <w:t>Public Health amended their standard contract with Drug and Alcohol service providers to include stronger safeguarding responsibilities</w:t>
            </w:r>
          </w:p>
          <w:p w:rsidR="0000655B" w:rsidRDefault="0000655B" w:rsidP="00FC1524"/>
          <w:p w:rsidR="0000655B" w:rsidRPr="001D3477" w:rsidRDefault="0000655B" w:rsidP="00FC1524">
            <w:pPr>
              <w:rPr>
                <w:bCs/>
                <w:i/>
              </w:rPr>
            </w:pPr>
            <w:r w:rsidRPr="00AE4B2E">
              <w:rPr>
                <w:b/>
                <w:bCs/>
              </w:rPr>
              <w:t>Raising Awareness</w:t>
            </w:r>
            <w:r>
              <w:rPr>
                <w:bCs/>
              </w:rPr>
              <w:t xml:space="preserve">: The OSCB </w:t>
            </w:r>
            <w:r w:rsidRPr="001D3477">
              <w:rPr>
                <w:bCs/>
              </w:rPr>
              <w:t>annual conference for over 200 delegates</w:t>
            </w:r>
            <w:r>
              <w:rPr>
                <w:bCs/>
              </w:rPr>
              <w:t xml:space="preserve"> provided learning on issues raised through case review e.g. </w:t>
            </w:r>
            <w:r w:rsidRPr="001D3477">
              <w:rPr>
                <w:bCs/>
              </w:rPr>
              <w:t>self-harm, behaviour and attendance, child sexual exploitation, social media and the internet, drugs &amp; alcohol and working together on high risk cases. Evaluation included: “</w:t>
            </w:r>
            <w:r w:rsidRPr="001D3477">
              <w:rPr>
                <w:bCs/>
                <w:i/>
              </w:rPr>
              <w:t>Excellent Conference. Relevant, Reflective and informative.”</w:t>
            </w:r>
          </w:p>
          <w:p w:rsidR="0000655B" w:rsidRDefault="0000655B" w:rsidP="00FC1524">
            <w:pPr>
              <w:rPr>
                <w:bCs/>
              </w:rPr>
            </w:pPr>
          </w:p>
          <w:p w:rsidR="0064029F" w:rsidRDefault="0064029F" w:rsidP="0064029F">
            <w:r>
              <w:t xml:space="preserve">Two </w:t>
            </w:r>
            <w:r>
              <w:rPr>
                <w:b/>
                <w:bCs/>
              </w:rPr>
              <w:t>serious case reviews</w:t>
            </w:r>
            <w:r>
              <w:t xml:space="preserve"> were published: Child Y and Child N.  For the case of Child Y the action plan was monitored and actions completed. Learning was reported in the annual report.  The serious case review for Child N was published in August this year, the recommendations and learning from this report are now in train. </w:t>
            </w:r>
          </w:p>
          <w:p w:rsidR="0000655B" w:rsidRPr="003836DE" w:rsidRDefault="0000655B" w:rsidP="00FC1524">
            <w:pPr>
              <w:rPr>
                <w:bCs/>
              </w:rPr>
            </w:pPr>
          </w:p>
          <w:p w:rsidR="0000655B" w:rsidRPr="00AE4B2E" w:rsidRDefault="0000655B" w:rsidP="00FC1524">
            <w:pPr>
              <w:rPr>
                <w:bCs/>
                <w:i/>
              </w:rPr>
            </w:pPr>
            <w:r>
              <w:rPr>
                <w:b/>
                <w:bCs/>
              </w:rPr>
              <w:t>Training</w:t>
            </w:r>
            <w:r>
              <w:rPr>
                <w:bCs/>
              </w:rPr>
              <w:t xml:space="preserve">: </w:t>
            </w:r>
            <w:r w:rsidRPr="003836DE">
              <w:rPr>
                <w:bCs/>
              </w:rPr>
              <w:t>OSCB training was delivered to 6000 members of the children’s work force in Oxfordshire</w:t>
            </w:r>
            <w:r>
              <w:rPr>
                <w:bCs/>
              </w:rPr>
              <w:t xml:space="preserve"> (higher than last year)</w:t>
            </w:r>
            <w:r w:rsidRPr="003836DE">
              <w:rPr>
                <w:bCs/>
              </w:rPr>
              <w:t>. The range of courses increased to 19 different types of face to face courses and 8 new online courses. The options for learning also improved. Bite-size workshops were introduced e.g. harmful sexual behaviours. Themed courses were introduced in response to Oxfordshire’s learning from case reviews and audits e.g. working with men and boys, disabled children, ran workshops on the multi-agency tools for practitioner trainers</w:t>
            </w:r>
            <w:r>
              <w:rPr>
                <w:bCs/>
              </w:rPr>
              <w:t xml:space="preserve">. </w:t>
            </w:r>
            <w:r w:rsidRPr="00AE4B2E">
              <w:rPr>
                <w:bCs/>
              </w:rPr>
              <w:t>Delegates have</w:t>
            </w:r>
            <w:r>
              <w:rPr>
                <w:bCs/>
              </w:rPr>
              <w:t xml:space="preserve"> said that </w:t>
            </w:r>
            <w:r w:rsidRPr="00AE4B2E">
              <w:rPr>
                <w:bCs/>
              </w:rPr>
              <w:t xml:space="preserve">OSCB courses are, </w:t>
            </w:r>
            <w:r w:rsidRPr="00AE4B2E">
              <w:rPr>
                <w:bCs/>
                <w:i/>
              </w:rPr>
              <w:t>“Interesting, informative and relevant”.</w:t>
            </w:r>
          </w:p>
          <w:p w:rsidR="0000655B" w:rsidRPr="003836DE" w:rsidRDefault="0000655B" w:rsidP="00FC1524">
            <w:pPr>
              <w:rPr>
                <w:bCs/>
              </w:rPr>
            </w:pPr>
          </w:p>
          <w:p w:rsidR="0000655B" w:rsidRPr="003836DE" w:rsidRDefault="0000655B" w:rsidP="00FC1524">
            <w:pPr>
              <w:rPr>
                <w:bCs/>
              </w:rPr>
            </w:pPr>
            <w:r w:rsidRPr="00AE4B2E">
              <w:rPr>
                <w:b/>
                <w:bCs/>
              </w:rPr>
              <w:t>Communications</w:t>
            </w:r>
            <w:r>
              <w:rPr>
                <w:bCs/>
              </w:rPr>
              <w:t xml:space="preserve">: </w:t>
            </w:r>
            <w:r w:rsidRPr="003836DE">
              <w:rPr>
                <w:bCs/>
              </w:rPr>
              <w:t>The OSCB website was updated for better access and content</w:t>
            </w:r>
            <w:r>
              <w:rPr>
                <w:bCs/>
              </w:rPr>
              <w:t xml:space="preserve">.   </w:t>
            </w:r>
            <w:r w:rsidRPr="003836DE">
              <w:rPr>
                <w:bCs/>
              </w:rPr>
              <w:t>The OSCB delivered termly newsletters to over 4000 members of the workforce, which was a greater number than last year</w:t>
            </w:r>
            <w:r>
              <w:rPr>
                <w:bCs/>
              </w:rPr>
              <w:t xml:space="preserve">.  </w:t>
            </w:r>
            <w:r w:rsidRPr="003836DE">
              <w:rPr>
                <w:bCs/>
              </w:rPr>
              <w:t>The OSCB set up a virtual education network with a bi-monthly e- bulletin for early years, educational and further education settings.</w:t>
            </w:r>
          </w:p>
          <w:p w:rsidR="0000655B" w:rsidRDefault="0000655B" w:rsidP="00FC1524"/>
          <w:p w:rsidR="0000655B" w:rsidRDefault="0000655B" w:rsidP="00FC1524">
            <w:r w:rsidRPr="00880CC6">
              <w:rPr>
                <w:rFonts w:eastAsia="Calibri"/>
                <w:b/>
                <w:bCs/>
              </w:rPr>
              <w:t>Safeguarding procedures</w:t>
            </w:r>
            <w:r>
              <w:rPr>
                <w:rFonts w:eastAsia="Calibri"/>
                <w:b/>
                <w:bCs/>
              </w:rPr>
              <w:t xml:space="preserve">: </w:t>
            </w:r>
            <w:r w:rsidRPr="00880CC6">
              <w:rPr>
                <w:rFonts w:eastAsia="Calibri"/>
                <w:bCs/>
              </w:rPr>
              <w:t>The OSCB conducted a gap analysis of local procedures against the pan-London procedures. The gaps were prioritised and all top priority changes were implemented within the year.   This led to them being rated by</w:t>
            </w:r>
            <w:r>
              <w:rPr>
                <w:rFonts w:eastAsia="Calibri"/>
                <w:bCs/>
              </w:rPr>
              <w:t xml:space="preserve"> Ofsted</w:t>
            </w:r>
            <w:r w:rsidRPr="00880CC6">
              <w:rPr>
                <w:rFonts w:eastAsia="Calibri"/>
                <w:bCs/>
              </w:rPr>
              <w:t xml:space="preserve"> Inspectors as “</w:t>
            </w:r>
            <w:r w:rsidRPr="00880CC6">
              <w:rPr>
                <w:rFonts w:eastAsia="Calibri"/>
                <w:bCs/>
                <w:i/>
              </w:rPr>
              <w:t>comprehensive and up to date</w:t>
            </w:r>
            <w:r w:rsidRPr="00880CC6">
              <w:rPr>
                <w:rFonts w:eastAsia="Calibri"/>
                <w:bCs/>
              </w:rPr>
              <w:t>”.</w:t>
            </w:r>
          </w:p>
          <w:p w:rsidR="0000655B" w:rsidRDefault="0000655B" w:rsidP="00FC1524"/>
          <w:p w:rsidR="0000655B" w:rsidRDefault="0000655B" w:rsidP="00FC1524">
            <w:r w:rsidRPr="00151393">
              <w:rPr>
                <w:b/>
              </w:rPr>
              <w:t>Scrutinising the effectiveness of services</w:t>
            </w:r>
            <w:r>
              <w:t>: The OSCB reviewed the work that is done to support vulnerable groups and held lead officers to account with respect to:</w:t>
            </w:r>
          </w:p>
          <w:p w:rsidR="0000655B" w:rsidRDefault="0000655B" w:rsidP="00FD3E19">
            <w:pPr>
              <w:pStyle w:val="ListParagraph"/>
              <w:numPr>
                <w:ilvl w:val="0"/>
                <w:numId w:val="51"/>
              </w:numPr>
            </w:pPr>
            <w:r>
              <w:t>Early Help</w:t>
            </w:r>
          </w:p>
          <w:p w:rsidR="0000655B" w:rsidRDefault="0000655B" w:rsidP="00FD3E19">
            <w:pPr>
              <w:pStyle w:val="ListParagraph"/>
              <w:numPr>
                <w:ilvl w:val="0"/>
                <w:numId w:val="51"/>
              </w:numPr>
            </w:pPr>
            <w:r>
              <w:t>Vulnerable learners</w:t>
            </w:r>
          </w:p>
          <w:p w:rsidR="0000655B" w:rsidRDefault="0000655B" w:rsidP="00FD3E19">
            <w:pPr>
              <w:pStyle w:val="ListParagraph"/>
              <w:numPr>
                <w:ilvl w:val="0"/>
                <w:numId w:val="51"/>
              </w:numPr>
            </w:pPr>
            <w:r>
              <w:t>Disabled children</w:t>
            </w:r>
          </w:p>
          <w:p w:rsidR="0000655B" w:rsidRDefault="0000655B" w:rsidP="00FD3E19">
            <w:pPr>
              <w:pStyle w:val="ListParagraph"/>
              <w:numPr>
                <w:ilvl w:val="0"/>
                <w:numId w:val="51"/>
              </w:numPr>
            </w:pPr>
            <w:r>
              <w:t>Children at risk of cse</w:t>
            </w:r>
          </w:p>
          <w:p w:rsidR="0000655B" w:rsidRDefault="0000655B" w:rsidP="00FD3E19">
            <w:pPr>
              <w:pStyle w:val="ListParagraph"/>
              <w:numPr>
                <w:ilvl w:val="0"/>
                <w:numId w:val="51"/>
              </w:numPr>
            </w:pPr>
            <w:r>
              <w:t>Young people with a range of complex needs</w:t>
            </w:r>
          </w:p>
          <w:p w:rsidR="0000655B" w:rsidRDefault="0000655B" w:rsidP="00FC1524"/>
          <w:p w:rsidR="0000655B" w:rsidRDefault="0000655B" w:rsidP="00FC1524">
            <w:r w:rsidRPr="00151393">
              <w:rPr>
                <w:b/>
              </w:rPr>
              <w:t>Child Sexual Exploitation</w:t>
            </w:r>
            <w:r>
              <w:rPr>
                <w:b/>
              </w:rPr>
              <w:t xml:space="preserve">: </w:t>
            </w:r>
            <w:r w:rsidRPr="00BE5E0F">
              <w:t xml:space="preserve">The OSCB has </w:t>
            </w:r>
            <w:r>
              <w:t xml:space="preserve">a strong CSE subgroup led by the Board’s vice chair. In 2013/14 it has </w:t>
            </w:r>
            <w:r w:rsidRPr="00BE5E0F">
              <w:t>overseen</w:t>
            </w:r>
            <w:r>
              <w:t>:</w:t>
            </w:r>
            <w:r w:rsidRPr="00BE5E0F">
              <w:t xml:space="preserve"> </w:t>
            </w:r>
          </w:p>
          <w:p w:rsidR="0000655B" w:rsidRPr="00BE5E0F" w:rsidRDefault="0000655B" w:rsidP="00FD3E19">
            <w:pPr>
              <w:pStyle w:val="ListParagraph"/>
              <w:numPr>
                <w:ilvl w:val="0"/>
                <w:numId w:val="52"/>
              </w:numPr>
              <w:rPr>
                <w:lang w:val="en-US"/>
              </w:rPr>
            </w:pPr>
            <w:r>
              <w:t xml:space="preserve">The establishment of </w:t>
            </w:r>
            <w:r w:rsidRPr="00BE5E0F">
              <w:rPr>
                <w:lang w:val="en-US"/>
              </w:rPr>
              <w:t xml:space="preserve">the Kingfisher team with police, social workers and health staff to spot potential warning signs, identify and support young people who may be victims of child sexual exploitation </w:t>
            </w:r>
          </w:p>
          <w:p w:rsidR="0000655B" w:rsidRPr="00BE5E0F" w:rsidRDefault="0000655B" w:rsidP="00FD3E19">
            <w:pPr>
              <w:numPr>
                <w:ilvl w:val="0"/>
                <w:numId w:val="52"/>
              </w:numPr>
              <w:rPr>
                <w:lang w:val="en-US"/>
              </w:rPr>
            </w:pPr>
            <w:r w:rsidRPr="00BE5E0F">
              <w:rPr>
                <w:lang w:val="en-US"/>
              </w:rPr>
              <w:t>Provided child protection training for staff working with children. The training now includes a designated section on spotting the signs of, and responding to, child sexual exploitation. This training has been delivered to more than 3,500 multi-agency staff in Oxfordshire, including all frontline staff working with children.</w:t>
            </w:r>
          </w:p>
          <w:p w:rsidR="0000655B" w:rsidRPr="00BE5E0F" w:rsidRDefault="0000655B" w:rsidP="00FD3E19">
            <w:pPr>
              <w:numPr>
                <w:ilvl w:val="0"/>
                <w:numId w:val="52"/>
              </w:numPr>
              <w:rPr>
                <w:lang w:val="en-US"/>
              </w:rPr>
            </w:pPr>
            <w:r w:rsidRPr="00BE5E0F">
              <w:rPr>
                <w:lang w:val="en-US"/>
              </w:rPr>
              <w:t>Developed a new child sexual exploitation screening tool in line with best practice, is used to assess the likelihood and risk level of a young person being subjected to sexual exploitation.</w:t>
            </w:r>
          </w:p>
          <w:p w:rsidR="0000655B" w:rsidRPr="00151393" w:rsidRDefault="0000655B" w:rsidP="00FC1524">
            <w:pPr>
              <w:rPr>
                <w:b/>
              </w:rPr>
            </w:pPr>
          </w:p>
        </w:tc>
      </w:tr>
      <w:tr w:rsidR="0000655B" w:rsidTr="00FC1524">
        <w:tc>
          <w:tcPr>
            <w:tcW w:w="9242" w:type="dxa"/>
            <w:gridSpan w:val="2"/>
          </w:tcPr>
          <w:p w:rsidR="0000655B" w:rsidRPr="004B3CEE" w:rsidRDefault="0000655B" w:rsidP="00FC1524">
            <w:pPr>
              <w:rPr>
                <w:b/>
                <w:highlight w:val="yellow"/>
              </w:rPr>
            </w:pPr>
            <w:r w:rsidRPr="00E2298C">
              <w:rPr>
                <w:b/>
              </w:rPr>
              <w:t>The aims for the Partnership in the year ahead</w:t>
            </w:r>
          </w:p>
        </w:tc>
      </w:tr>
      <w:tr w:rsidR="0000655B" w:rsidTr="00FC1524">
        <w:tc>
          <w:tcPr>
            <w:tcW w:w="9242" w:type="dxa"/>
            <w:gridSpan w:val="2"/>
          </w:tcPr>
          <w:p w:rsidR="0000655B" w:rsidRDefault="0000655B" w:rsidP="00FC1524"/>
          <w:p w:rsidR="0000655B" w:rsidRPr="00A02709" w:rsidRDefault="0000655B" w:rsidP="0000655B">
            <w:pPr>
              <w:numPr>
                <w:ilvl w:val="0"/>
                <w:numId w:val="20"/>
              </w:numPr>
            </w:pPr>
            <w:r w:rsidRPr="00A02709">
              <w:t xml:space="preserve">Embedding robust and rigorous quality assurance activity. </w:t>
            </w:r>
          </w:p>
          <w:p w:rsidR="0000655B" w:rsidRPr="00A02709" w:rsidRDefault="0000655B" w:rsidP="0000655B">
            <w:pPr>
              <w:numPr>
                <w:ilvl w:val="0"/>
                <w:numId w:val="20"/>
              </w:numPr>
            </w:pPr>
            <w:r w:rsidRPr="00A02709">
              <w:t>Maintaining the quality assurance, learning and improvement framework.</w:t>
            </w:r>
          </w:p>
          <w:p w:rsidR="0000655B" w:rsidRDefault="0000655B" w:rsidP="0000655B">
            <w:pPr>
              <w:numPr>
                <w:ilvl w:val="0"/>
                <w:numId w:val="20"/>
              </w:numPr>
            </w:pPr>
            <w:r w:rsidRPr="00A02709">
              <w:t>Capturing the views of children, young people and practitioners</w:t>
            </w:r>
          </w:p>
          <w:p w:rsidR="0000655B" w:rsidRDefault="0000655B" w:rsidP="00FC1524">
            <w:pPr>
              <w:numPr>
                <w:ilvl w:val="0"/>
                <w:numId w:val="20"/>
              </w:numPr>
            </w:pPr>
            <w:r>
              <w:t>Completing the recommendations made by Ofsted</w:t>
            </w:r>
          </w:p>
          <w:p w:rsidR="0000655B" w:rsidRDefault="0000655B" w:rsidP="00FC1524"/>
        </w:tc>
      </w:tr>
      <w:tr w:rsidR="0000655B" w:rsidTr="00FC1524">
        <w:tc>
          <w:tcPr>
            <w:tcW w:w="9242" w:type="dxa"/>
            <w:gridSpan w:val="2"/>
          </w:tcPr>
          <w:p w:rsidR="0000655B" w:rsidRPr="00425AB4" w:rsidRDefault="0000655B" w:rsidP="00FC1524">
            <w:pPr>
              <w:rPr>
                <w:b/>
              </w:rPr>
            </w:pPr>
            <w:r w:rsidRPr="00425AB4">
              <w:rPr>
                <w:b/>
              </w:rPr>
              <w:t>The key challenges for the Partnership and how these will be addressed going forward</w:t>
            </w:r>
            <w:r>
              <w:rPr>
                <w:b/>
              </w:rPr>
              <w:t>.</w:t>
            </w:r>
          </w:p>
        </w:tc>
      </w:tr>
      <w:tr w:rsidR="0000655B" w:rsidTr="00FC1524">
        <w:trPr>
          <w:trHeight w:val="70"/>
        </w:trPr>
        <w:tc>
          <w:tcPr>
            <w:tcW w:w="9242" w:type="dxa"/>
            <w:gridSpan w:val="2"/>
          </w:tcPr>
          <w:p w:rsidR="0000655B" w:rsidRDefault="0000655B" w:rsidP="00FC1524"/>
          <w:p w:rsidR="0000655B" w:rsidRPr="00BC0235" w:rsidRDefault="0000655B" w:rsidP="00FC1524">
            <w:pPr>
              <w:rPr>
                <w:rFonts w:eastAsia="Calibri"/>
                <w:b/>
              </w:rPr>
            </w:pPr>
            <w:r w:rsidRPr="00BC0235">
              <w:rPr>
                <w:rFonts w:eastAsia="Calibri"/>
                <w:b/>
              </w:rPr>
              <w:t xml:space="preserve">National Drivers </w:t>
            </w:r>
          </w:p>
          <w:p w:rsidR="0000655B" w:rsidRPr="00BC0235" w:rsidRDefault="0000655B" w:rsidP="00FC1524">
            <w:pPr>
              <w:rPr>
                <w:rFonts w:eastAsia="Calibri"/>
                <w:b/>
                <w:sz w:val="18"/>
              </w:rPr>
            </w:pPr>
          </w:p>
          <w:p w:rsidR="0000655B" w:rsidRPr="00BC0235" w:rsidRDefault="0000655B" w:rsidP="0000655B">
            <w:pPr>
              <w:numPr>
                <w:ilvl w:val="0"/>
                <w:numId w:val="22"/>
              </w:numPr>
              <w:rPr>
                <w:rFonts w:eastAsia="Calibri"/>
              </w:rPr>
            </w:pPr>
            <w:r w:rsidRPr="00BC0235">
              <w:rPr>
                <w:rFonts w:eastAsia="Calibri"/>
              </w:rPr>
              <w:t>Tackling child sexual exploitation.</w:t>
            </w:r>
          </w:p>
          <w:p w:rsidR="0000655B" w:rsidRPr="00BC0235" w:rsidRDefault="0000655B" w:rsidP="0000655B">
            <w:pPr>
              <w:numPr>
                <w:ilvl w:val="0"/>
                <w:numId w:val="22"/>
              </w:numPr>
              <w:rPr>
                <w:rFonts w:eastAsia="Calibri"/>
              </w:rPr>
            </w:pPr>
            <w:r w:rsidRPr="00BC0235">
              <w:rPr>
                <w:rFonts w:eastAsia="Calibri"/>
              </w:rPr>
              <w:t xml:space="preserve">Improving the effectiveness of ‘early help’ services.  </w:t>
            </w:r>
          </w:p>
          <w:p w:rsidR="0000655B" w:rsidRPr="00BC0235" w:rsidRDefault="0000655B" w:rsidP="0000655B">
            <w:pPr>
              <w:numPr>
                <w:ilvl w:val="0"/>
                <w:numId w:val="22"/>
              </w:numPr>
              <w:rPr>
                <w:rFonts w:eastAsia="Calibri"/>
              </w:rPr>
            </w:pPr>
            <w:r w:rsidRPr="00BC0235">
              <w:rPr>
                <w:rFonts w:eastAsia="Calibri"/>
              </w:rPr>
              <w:t>Implementing new statutory safeguarding guidance.</w:t>
            </w:r>
          </w:p>
          <w:p w:rsidR="0000655B" w:rsidRPr="00BC0235" w:rsidRDefault="0000655B" w:rsidP="0000655B">
            <w:pPr>
              <w:numPr>
                <w:ilvl w:val="0"/>
                <w:numId w:val="22"/>
              </w:numPr>
              <w:rPr>
                <w:rFonts w:eastAsia="Calibri"/>
              </w:rPr>
            </w:pPr>
            <w:r w:rsidRPr="00BC0235">
              <w:rPr>
                <w:rFonts w:eastAsia="Calibri"/>
              </w:rPr>
              <w:t xml:space="preserve">The focus on safeguarding across inspection regimes.  </w:t>
            </w:r>
          </w:p>
          <w:p w:rsidR="0000655B" w:rsidRPr="00BC0235" w:rsidRDefault="0000655B" w:rsidP="0000655B">
            <w:pPr>
              <w:numPr>
                <w:ilvl w:val="0"/>
                <w:numId w:val="22"/>
              </w:numPr>
              <w:rPr>
                <w:rFonts w:eastAsia="Calibri"/>
              </w:rPr>
            </w:pPr>
            <w:r w:rsidRPr="00BC0235">
              <w:rPr>
                <w:rFonts w:eastAsia="Calibri"/>
              </w:rPr>
              <w:t xml:space="preserve">Ensuring that the potential risks to safeguarding practice and arrangements are kept under review in response to increasing demand for services and on-going reshaping of public services. </w:t>
            </w:r>
          </w:p>
          <w:p w:rsidR="0000655B" w:rsidRDefault="0000655B" w:rsidP="00FC1524"/>
          <w:p w:rsidR="0000655B" w:rsidRPr="00BC0235" w:rsidRDefault="0000655B" w:rsidP="00FC1524">
            <w:pPr>
              <w:rPr>
                <w:rFonts w:eastAsia="Calibri"/>
                <w:b/>
              </w:rPr>
            </w:pPr>
            <w:r>
              <w:rPr>
                <w:rFonts w:eastAsia="Calibri"/>
                <w:b/>
              </w:rPr>
              <w:t xml:space="preserve">Challenges for </w:t>
            </w:r>
            <w:r w:rsidRPr="00BC0235">
              <w:rPr>
                <w:rFonts w:eastAsia="Calibri"/>
                <w:b/>
              </w:rPr>
              <w:t xml:space="preserve">local multi-agency work </w:t>
            </w:r>
          </w:p>
          <w:p w:rsidR="0000655B" w:rsidRPr="00BC0235" w:rsidRDefault="0000655B" w:rsidP="00FC1524">
            <w:pPr>
              <w:rPr>
                <w:rFonts w:eastAsia="Calibri"/>
                <w:b/>
                <w:sz w:val="16"/>
              </w:rPr>
            </w:pPr>
          </w:p>
          <w:p w:rsidR="0000655B" w:rsidRPr="00BC0235" w:rsidRDefault="0000655B" w:rsidP="0000655B">
            <w:pPr>
              <w:numPr>
                <w:ilvl w:val="0"/>
                <w:numId w:val="21"/>
              </w:numPr>
              <w:rPr>
                <w:rFonts w:eastAsia="Calibri"/>
              </w:rPr>
            </w:pPr>
            <w:r w:rsidRPr="00BC0235">
              <w:rPr>
                <w:rFonts w:eastAsia="Calibri"/>
              </w:rPr>
              <w:t>Ensuring there is sufficient provision of ‘early help’ and improving the effectiveness of ‘early help’ services.</w:t>
            </w:r>
          </w:p>
          <w:p w:rsidR="0000655B" w:rsidRPr="00BC0235" w:rsidRDefault="0000655B" w:rsidP="0000655B">
            <w:pPr>
              <w:numPr>
                <w:ilvl w:val="0"/>
                <w:numId w:val="21"/>
              </w:numPr>
              <w:rPr>
                <w:rFonts w:eastAsia="Calibri"/>
              </w:rPr>
            </w:pPr>
            <w:r w:rsidRPr="00BC0235">
              <w:rPr>
                <w:rFonts w:eastAsia="Calibri"/>
              </w:rPr>
              <w:t>Progressing actions to tackle child sexual exploitation.</w:t>
            </w:r>
          </w:p>
          <w:p w:rsidR="0000655B" w:rsidRPr="00BC0235" w:rsidRDefault="0000655B" w:rsidP="0000655B">
            <w:pPr>
              <w:numPr>
                <w:ilvl w:val="0"/>
                <w:numId w:val="21"/>
              </w:numPr>
              <w:rPr>
                <w:rFonts w:eastAsia="Calibri"/>
              </w:rPr>
            </w:pPr>
            <w:r w:rsidRPr="00BC0235">
              <w:rPr>
                <w:rFonts w:eastAsia="Calibri"/>
              </w:rPr>
              <w:t>Safeguarding those Oxfordshire children who are living outside of Oxfordshire within residential, educational and secure settings.</w:t>
            </w:r>
          </w:p>
          <w:p w:rsidR="0000655B" w:rsidRPr="00BC0235" w:rsidRDefault="0000655B" w:rsidP="0000655B">
            <w:pPr>
              <w:numPr>
                <w:ilvl w:val="0"/>
                <w:numId w:val="21"/>
              </w:numPr>
              <w:rPr>
                <w:rFonts w:eastAsia="Calibri"/>
              </w:rPr>
            </w:pPr>
            <w:r w:rsidRPr="00BC0235">
              <w:rPr>
                <w:rFonts w:eastAsia="Calibri"/>
              </w:rPr>
              <w:t>Ensuring there are effective arrangements in place to safeguard vulnerable learners.</w:t>
            </w:r>
          </w:p>
          <w:p w:rsidR="0000655B" w:rsidRDefault="0000655B" w:rsidP="00FC1524"/>
          <w:p w:rsidR="0018796A" w:rsidRDefault="0018796A" w:rsidP="00FC1524"/>
          <w:p w:rsidR="0018796A" w:rsidRDefault="0018796A" w:rsidP="00FC1524"/>
          <w:p w:rsidR="0018796A" w:rsidRDefault="0018796A" w:rsidP="00FC1524"/>
          <w:p w:rsidR="0018796A" w:rsidRDefault="0018796A" w:rsidP="00FC1524"/>
          <w:p w:rsidR="0000655B" w:rsidRPr="00BC0235" w:rsidRDefault="0000655B" w:rsidP="00FC1524">
            <w:pPr>
              <w:rPr>
                <w:rFonts w:eastAsia="Calibri"/>
                <w:b/>
              </w:rPr>
            </w:pPr>
            <w:r w:rsidRPr="00BC0235">
              <w:rPr>
                <w:rFonts w:eastAsia="Calibri"/>
                <w:b/>
              </w:rPr>
              <w:t xml:space="preserve">Key priority areas </w:t>
            </w:r>
            <w:r>
              <w:rPr>
                <w:rFonts w:eastAsia="Calibri"/>
                <w:b/>
              </w:rPr>
              <w:t>for the Board</w:t>
            </w:r>
          </w:p>
          <w:p w:rsidR="0000655B" w:rsidRPr="00BC0235" w:rsidRDefault="0000655B" w:rsidP="00FC1524">
            <w:pPr>
              <w:rPr>
                <w:rFonts w:eastAsia="Calibri"/>
              </w:rPr>
            </w:pPr>
          </w:p>
          <w:p w:rsidR="0000655B" w:rsidRPr="00BC0235" w:rsidRDefault="0000655B" w:rsidP="00FC1524">
            <w:pPr>
              <w:jc w:val="both"/>
              <w:rPr>
                <w:rFonts w:eastAsia="Calibri"/>
              </w:rPr>
            </w:pPr>
            <w:r w:rsidRPr="00BC0235">
              <w:rPr>
                <w:rFonts w:eastAsia="Calibri"/>
              </w:rPr>
              <w:t>Reviewing the challenges ahead the Board remains committed to responding to the following key priority areas:</w:t>
            </w:r>
          </w:p>
          <w:p w:rsidR="0000655B" w:rsidRPr="00BC0235" w:rsidRDefault="0000655B" w:rsidP="0000655B">
            <w:pPr>
              <w:numPr>
                <w:ilvl w:val="0"/>
                <w:numId w:val="23"/>
              </w:numPr>
              <w:tabs>
                <w:tab w:val="num" w:pos="720"/>
              </w:tabs>
              <w:rPr>
                <w:rFonts w:eastAsia="Calibri"/>
                <w:b/>
              </w:rPr>
            </w:pPr>
            <w:r w:rsidRPr="00BC0235">
              <w:rPr>
                <w:rFonts w:eastAsia="Calibri"/>
              </w:rPr>
              <w:t>Evaluating the effectiveness of early help.</w:t>
            </w:r>
          </w:p>
          <w:p w:rsidR="0000655B" w:rsidRPr="00BC0235" w:rsidRDefault="0018796A" w:rsidP="0000655B">
            <w:pPr>
              <w:numPr>
                <w:ilvl w:val="0"/>
                <w:numId w:val="23"/>
              </w:numPr>
              <w:tabs>
                <w:tab w:val="num" w:pos="720"/>
              </w:tabs>
              <w:rPr>
                <w:rFonts w:eastAsia="Calibri"/>
                <w:b/>
              </w:rPr>
            </w:pPr>
            <w:r w:rsidRPr="00BC0235">
              <w:rPr>
                <w:rFonts w:eastAsia="Calibri"/>
              </w:rPr>
              <w:t>Missing</w:t>
            </w:r>
            <w:r>
              <w:rPr>
                <w:rFonts w:eastAsia="Calibri"/>
              </w:rPr>
              <w:t>,</w:t>
            </w:r>
            <w:r w:rsidR="0000655B" w:rsidRPr="00BC0235">
              <w:rPr>
                <w:rFonts w:eastAsia="Calibri"/>
              </w:rPr>
              <w:t xml:space="preserve"> exploited and trafficked children.</w:t>
            </w:r>
          </w:p>
          <w:p w:rsidR="0000655B" w:rsidRPr="003B1C89" w:rsidRDefault="0000655B" w:rsidP="0000655B">
            <w:pPr>
              <w:numPr>
                <w:ilvl w:val="0"/>
                <w:numId w:val="23"/>
              </w:numPr>
              <w:tabs>
                <w:tab w:val="num" w:pos="720"/>
              </w:tabs>
              <w:rPr>
                <w:rFonts w:eastAsia="Calibri"/>
                <w:b/>
              </w:rPr>
            </w:pPr>
            <w:r w:rsidRPr="00BC0235">
              <w:rPr>
                <w:rFonts w:eastAsia="Calibri"/>
              </w:rPr>
              <w:t>Maintaining a quality assurance, learning and improvement framework</w:t>
            </w:r>
            <w:r>
              <w:rPr>
                <w:rFonts w:eastAsia="Calibri"/>
              </w:rPr>
              <w:t>.</w:t>
            </w:r>
          </w:p>
          <w:p w:rsidR="0000655B" w:rsidRDefault="0038444D" w:rsidP="00FC1524">
            <w:pPr>
              <w:ind w:left="720"/>
              <w:rPr>
                <w:color w:val="0D0D0D"/>
              </w:rPr>
            </w:pPr>
            <w:r>
              <w:rPr>
                <w:color w:val="0D0D0D"/>
              </w:rPr>
              <w:t>Ensuring commissioning of all case reviews are undertaken in line with ‘Working Together 2013’ guidance.</w:t>
            </w:r>
          </w:p>
          <w:p w:rsidR="0038444D" w:rsidRDefault="0038444D" w:rsidP="00FC1524">
            <w:pPr>
              <w:ind w:left="720"/>
              <w:rPr>
                <w:rFonts w:eastAsia="Calibri"/>
                <w:b/>
              </w:rPr>
            </w:pPr>
          </w:p>
          <w:p w:rsidR="0000655B" w:rsidRPr="00A02709" w:rsidRDefault="0000655B" w:rsidP="00FC1524">
            <w:pPr>
              <w:rPr>
                <w:rFonts w:eastAsia="Calibri"/>
                <w:b/>
              </w:rPr>
            </w:pPr>
            <w:r w:rsidRPr="00A02709">
              <w:rPr>
                <w:rFonts w:eastAsia="Calibri"/>
                <w:b/>
              </w:rPr>
              <w:t xml:space="preserve">How the Board will </w:t>
            </w:r>
            <w:r>
              <w:rPr>
                <w:rFonts w:eastAsia="Calibri"/>
                <w:b/>
              </w:rPr>
              <w:t xml:space="preserve">work better to </w:t>
            </w:r>
            <w:r w:rsidRPr="00A02709">
              <w:rPr>
                <w:rFonts w:eastAsia="Calibri"/>
                <w:b/>
              </w:rPr>
              <w:t>address them:</w:t>
            </w:r>
          </w:p>
          <w:p w:rsidR="0000655B" w:rsidRDefault="0000655B" w:rsidP="00FC1524">
            <w:pPr>
              <w:rPr>
                <w:rFonts w:eastAsia="Calibri"/>
              </w:rPr>
            </w:pPr>
          </w:p>
          <w:p w:rsidR="0000655B" w:rsidRPr="00FD3E19" w:rsidRDefault="0000655B" w:rsidP="00FD3E19">
            <w:pPr>
              <w:pStyle w:val="ListParagraph"/>
              <w:numPr>
                <w:ilvl w:val="0"/>
                <w:numId w:val="53"/>
              </w:numPr>
              <w:rPr>
                <w:rFonts w:eastAsia="Calibri"/>
              </w:rPr>
            </w:pPr>
            <w:r w:rsidRPr="00FD3E19">
              <w:rPr>
                <w:rFonts w:eastAsia="Calibri"/>
              </w:rPr>
              <w:t>All challenges are identified in the Business plan. Board business is more tightly driven through processes such as an action log, challenge log, risk register and exception reporting against the Business plan.</w:t>
            </w:r>
          </w:p>
          <w:p w:rsidR="0000655B" w:rsidRPr="003B1C89" w:rsidRDefault="0000655B">
            <w:pPr>
              <w:pStyle w:val="ListParagraph"/>
              <w:rPr>
                <w:rFonts w:eastAsia="Calibri"/>
              </w:rPr>
            </w:pPr>
          </w:p>
          <w:p w:rsidR="0000655B" w:rsidRPr="00FD3E19" w:rsidRDefault="0000655B" w:rsidP="00FD3E19">
            <w:pPr>
              <w:pStyle w:val="ListParagraph"/>
              <w:numPr>
                <w:ilvl w:val="0"/>
                <w:numId w:val="53"/>
              </w:numPr>
              <w:rPr>
                <w:rFonts w:eastAsia="Calibri"/>
              </w:rPr>
            </w:pPr>
            <w:r w:rsidRPr="00FD3E19">
              <w:rPr>
                <w:rFonts w:eastAsia="Calibri"/>
              </w:rPr>
              <w:t>The Chair is developing local strategic relationships to ensure that safeguarding risks in the child protection partnership are understood and managed effectively at the highest level. A Safeguarding Summit will take place in order for the OSCB to engage with partners at a strategic level. The Board will undertake a series of short briefings for members across the county so that local challenges are collectively understood.</w:t>
            </w:r>
          </w:p>
          <w:p w:rsidR="0000655B" w:rsidRPr="00A02709" w:rsidRDefault="0000655B">
            <w:pPr>
              <w:rPr>
                <w:rFonts w:eastAsia="Calibri"/>
              </w:rPr>
            </w:pPr>
          </w:p>
          <w:p w:rsidR="0000655B" w:rsidRPr="00FD3E19" w:rsidRDefault="0000655B" w:rsidP="00FD3E19">
            <w:pPr>
              <w:pStyle w:val="ListParagraph"/>
              <w:numPr>
                <w:ilvl w:val="0"/>
                <w:numId w:val="53"/>
              </w:numPr>
              <w:rPr>
                <w:rFonts w:eastAsia="Calibri"/>
              </w:rPr>
            </w:pPr>
            <w:r w:rsidRPr="00FD3E19">
              <w:rPr>
                <w:rFonts w:eastAsia="Calibri"/>
              </w:rPr>
              <w:t xml:space="preserve">The Chair and the Board intends to undertake a review of the Finances, the  Business Unit and Training function to ensure that is fit for purpose and able to deliver against the challenges listed. </w:t>
            </w:r>
          </w:p>
          <w:p w:rsidR="0000655B" w:rsidRPr="00A02709" w:rsidRDefault="0000655B" w:rsidP="00FC1524">
            <w:pPr>
              <w:rPr>
                <w:rFonts w:eastAsia="Calibri"/>
                <w:b/>
              </w:rPr>
            </w:pPr>
          </w:p>
        </w:tc>
      </w:tr>
    </w:tbl>
    <w:p w:rsidR="0000655B" w:rsidRDefault="0000655B" w:rsidP="0000655B"/>
    <w:p w:rsidR="004B3CEE" w:rsidRDefault="004B3CEE" w:rsidP="00692154"/>
    <w:p w:rsidR="0000655B" w:rsidRDefault="0000655B" w:rsidP="00692154"/>
    <w:p w:rsidR="0000655B" w:rsidRDefault="0000655B" w:rsidP="00692154"/>
    <w:p w:rsidR="0000655B" w:rsidRPr="0000655B" w:rsidRDefault="0000655B">
      <w:pPr>
        <w:rPr>
          <w:b/>
          <w:i/>
          <w:u w:val="single"/>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8B3FA8" w:rsidRPr="00D40D54" w:rsidTr="00587EBF">
        <w:tc>
          <w:tcPr>
            <w:tcW w:w="3369" w:type="dxa"/>
          </w:tcPr>
          <w:p w:rsidR="008B3FA8" w:rsidRPr="00D40D54" w:rsidRDefault="008B3FA8" w:rsidP="00587EBF">
            <w:pPr>
              <w:rPr>
                <w:b/>
              </w:rPr>
            </w:pPr>
            <w:r w:rsidRPr="00D40D54">
              <w:rPr>
                <w:b/>
              </w:rPr>
              <w:t xml:space="preserve">Partnership Name </w:t>
            </w:r>
          </w:p>
        </w:tc>
        <w:tc>
          <w:tcPr>
            <w:tcW w:w="5873" w:type="dxa"/>
          </w:tcPr>
          <w:p w:rsidR="008B3FA8" w:rsidRPr="00D40D54" w:rsidRDefault="008B3FA8" w:rsidP="00587EBF">
            <w:pPr>
              <w:rPr>
                <w:b/>
              </w:rPr>
            </w:pPr>
            <w:r w:rsidRPr="00D40D54">
              <w:rPr>
                <w:b/>
              </w:rPr>
              <w:t>Oxfordshire Safeguarding Adults Board</w:t>
            </w:r>
          </w:p>
        </w:tc>
      </w:tr>
      <w:tr w:rsidR="008B3FA8" w:rsidRPr="00D40D54" w:rsidTr="00587EBF">
        <w:trPr>
          <w:trHeight w:val="217"/>
        </w:trPr>
        <w:tc>
          <w:tcPr>
            <w:tcW w:w="3369" w:type="dxa"/>
          </w:tcPr>
          <w:p w:rsidR="008B3FA8" w:rsidRPr="00D40D54" w:rsidRDefault="008B3FA8" w:rsidP="00587EBF">
            <w:pPr>
              <w:rPr>
                <w:b/>
              </w:rPr>
            </w:pPr>
            <w:r w:rsidRPr="00D40D54">
              <w:rPr>
                <w:b/>
              </w:rPr>
              <w:t xml:space="preserve">Date of completion </w:t>
            </w:r>
          </w:p>
        </w:tc>
        <w:tc>
          <w:tcPr>
            <w:tcW w:w="5873" w:type="dxa"/>
          </w:tcPr>
          <w:p w:rsidR="008B3FA8" w:rsidRPr="00D40D54" w:rsidRDefault="008B3FA8" w:rsidP="00EE38F7">
            <w:r w:rsidRPr="00D40D54">
              <w:t>11</w:t>
            </w:r>
            <w:r w:rsidRPr="00D40D54">
              <w:rPr>
                <w:vertAlign w:val="superscript"/>
              </w:rPr>
              <w:t>th</w:t>
            </w:r>
            <w:r w:rsidRPr="00D40D54">
              <w:t xml:space="preserve"> August 2014</w:t>
            </w:r>
            <w:r w:rsidR="00EE38F7">
              <w:t xml:space="preserve"> </w:t>
            </w:r>
            <w:r w:rsidR="00EE38F7" w:rsidRPr="00212523">
              <w:rPr>
                <w:i/>
                <w:sz w:val="20"/>
                <w:szCs w:val="20"/>
              </w:rPr>
              <w:t xml:space="preserve">(updated </w:t>
            </w:r>
            <w:r w:rsidR="00EE38F7">
              <w:rPr>
                <w:i/>
                <w:sz w:val="20"/>
                <w:szCs w:val="20"/>
              </w:rPr>
              <w:t>23rd</w:t>
            </w:r>
            <w:r w:rsidR="00EE38F7" w:rsidRPr="00212523">
              <w:rPr>
                <w:i/>
                <w:sz w:val="20"/>
                <w:szCs w:val="20"/>
              </w:rPr>
              <w:t xml:space="preserve"> September 2014)</w:t>
            </w:r>
          </w:p>
        </w:tc>
      </w:tr>
      <w:tr w:rsidR="008B3FA8" w:rsidRPr="00D40D54" w:rsidTr="00587EBF">
        <w:tc>
          <w:tcPr>
            <w:tcW w:w="3369" w:type="dxa"/>
          </w:tcPr>
          <w:p w:rsidR="008B3FA8" w:rsidRPr="00D40D54" w:rsidRDefault="008B3FA8" w:rsidP="00587EBF">
            <w:pPr>
              <w:rPr>
                <w:b/>
              </w:rPr>
            </w:pPr>
            <w:r w:rsidRPr="00D40D54">
              <w:rPr>
                <w:b/>
              </w:rPr>
              <w:t xml:space="preserve">Chairman </w:t>
            </w:r>
          </w:p>
        </w:tc>
        <w:tc>
          <w:tcPr>
            <w:tcW w:w="5873" w:type="dxa"/>
          </w:tcPr>
          <w:p w:rsidR="008B3FA8" w:rsidRPr="00D40D54" w:rsidRDefault="008B3FA8" w:rsidP="00587EBF">
            <w:r w:rsidRPr="00D40D54">
              <w:t>Donald McPhail</w:t>
            </w:r>
          </w:p>
        </w:tc>
      </w:tr>
      <w:tr w:rsidR="008B3FA8" w:rsidRPr="00D40D54" w:rsidTr="00587EBF">
        <w:tc>
          <w:tcPr>
            <w:tcW w:w="3369" w:type="dxa"/>
          </w:tcPr>
          <w:p w:rsidR="008B3FA8" w:rsidRPr="00D40D54" w:rsidRDefault="008B3FA8" w:rsidP="00587EBF">
            <w:pPr>
              <w:rPr>
                <w:b/>
              </w:rPr>
            </w:pPr>
            <w:r w:rsidRPr="00D40D54">
              <w:rPr>
                <w:b/>
              </w:rPr>
              <w:t>OCC Lead Member</w:t>
            </w:r>
          </w:p>
        </w:tc>
        <w:tc>
          <w:tcPr>
            <w:tcW w:w="5873" w:type="dxa"/>
          </w:tcPr>
          <w:p w:rsidR="008B3FA8" w:rsidRPr="00FE4B3F" w:rsidRDefault="008B3FA8" w:rsidP="00587EBF">
            <w:r w:rsidRPr="00FE4B3F">
              <w:t>Cllr Judith Heathcoat</w:t>
            </w:r>
          </w:p>
        </w:tc>
      </w:tr>
      <w:tr w:rsidR="008B3FA8" w:rsidRPr="00D40D54" w:rsidTr="00587EBF">
        <w:tc>
          <w:tcPr>
            <w:tcW w:w="3369" w:type="dxa"/>
          </w:tcPr>
          <w:p w:rsidR="008B3FA8" w:rsidRPr="00D40D54" w:rsidRDefault="008B3FA8" w:rsidP="00587EBF">
            <w:pPr>
              <w:rPr>
                <w:b/>
              </w:rPr>
            </w:pPr>
            <w:r w:rsidRPr="00D40D54">
              <w:rPr>
                <w:b/>
              </w:rPr>
              <w:t>OCC Lead Officer</w:t>
            </w:r>
          </w:p>
        </w:tc>
        <w:tc>
          <w:tcPr>
            <w:tcW w:w="5873" w:type="dxa"/>
          </w:tcPr>
          <w:p w:rsidR="008B3FA8" w:rsidRPr="00FE4B3F" w:rsidRDefault="008B3FA8" w:rsidP="00587EBF">
            <w:r w:rsidRPr="00FE4B3F">
              <w:t>Kate Terroni</w:t>
            </w:r>
          </w:p>
        </w:tc>
      </w:tr>
      <w:tr w:rsidR="008B3FA8" w:rsidRPr="00D40D54" w:rsidTr="00587EBF">
        <w:tc>
          <w:tcPr>
            <w:tcW w:w="3369" w:type="dxa"/>
          </w:tcPr>
          <w:p w:rsidR="008B3FA8" w:rsidRPr="00D40D54" w:rsidRDefault="008B3FA8" w:rsidP="00587EBF">
            <w:pPr>
              <w:rPr>
                <w:b/>
              </w:rPr>
            </w:pPr>
            <w:r w:rsidRPr="00D40D54">
              <w:rPr>
                <w:b/>
              </w:rPr>
              <w:t>Last Meeting Date</w:t>
            </w:r>
          </w:p>
        </w:tc>
        <w:tc>
          <w:tcPr>
            <w:tcW w:w="5873" w:type="dxa"/>
          </w:tcPr>
          <w:p w:rsidR="008B3FA8" w:rsidRPr="00FE4B3F" w:rsidRDefault="008B3FA8" w:rsidP="00587EBF">
            <w:r w:rsidRPr="00FE4B3F">
              <w:t>3</w:t>
            </w:r>
            <w:r w:rsidRPr="00FE4B3F">
              <w:rPr>
                <w:vertAlign w:val="superscript"/>
              </w:rPr>
              <w:t>rd</w:t>
            </w:r>
            <w:r w:rsidRPr="00FE4B3F">
              <w:t xml:space="preserve"> July 2014</w:t>
            </w:r>
          </w:p>
        </w:tc>
      </w:tr>
      <w:tr w:rsidR="008B3FA8" w:rsidRPr="00D40D54" w:rsidTr="00587EBF">
        <w:tc>
          <w:tcPr>
            <w:tcW w:w="3369" w:type="dxa"/>
          </w:tcPr>
          <w:p w:rsidR="008B3FA8" w:rsidRPr="00D40D54" w:rsidRDefault="008B3FA8" w:rsidP="00587EBF">
            <w:pPr>
              <w:rPr>
                <w:b/>
              </w:rPr>
            </w:pPr>
            <w:r w:rsidRPr="00D40D54">
              <w:rPr>
                <w:b/>
              </w:rPr>
              <w:t>Next Meeting Date</w:t>
            </w:r>
          </w:p>
        </w:tc>
        <w:tc>
          <w:tcPr>
            <w:tcW w:w="5873" w:type="dxa"/>
          </w:tcPr>
          <w:p w:rsidR="008B3FA8" w:rsidRPr="00FE4B3F" w:rsidRDefault="008B3FA8" w:rsidP="00587EBF">
            <w:r w:rsidRPr="00FE4B3F">
              <w:t>23</w:t>
            </w:r>
            <w:r w:rsidRPr="00FE4B3F">
              <w:rPr>
                <w:vertAlign w:val="superscript"/>
              </w:rPr>
              <w:t>rd</w:t>
            </w:r>
            <w:r w:rsidRPr="00FE4B3F">
              <w:t xml:space="preserve"> October 2014</w:t>
            </w:r>
          </w:p>
        </w:tc>
      </w:tr>
      <w:tr w:rsidR="008B3FA8" w:rsidRPr="00D40D54" w:rsidTr="00587EBF">
        <w:tc>
          <w:tcPr>
            <w:tcW w:w="3369" w:type="dxa"/>
          </w:tcPr>
          <w:p w:rsidR="008B3FA8" w:rsidRPr="00D40D54" w:rsidRDefault="008B3FA8" w:rsidP="00587EBF">
            <w:pPr>
              <w:rPr>
                <w:b/>
              </w:rPr>
            </w:pPr>
            <w:r w:rsidRPr="00D40D54">
              <w:rPr>
                <w:b/>
              </w:rPr>
              <w:t>Website Address</w:t>
            </w:r>
          </w:p>
        </w:tc>
        <w:tc>
          <w:tcPr>
            <w:tcW w:w="5873" w:type="dxa"/>
          </w:tcPr>
          <w:p w:rsidR="008B3FA8" w:rsidRPr="00FE4B3F" w:rsidRDefault="00493322" w:rsidP="00587EBF">
            <w:hyperlink r:id="rId19" w:history="1">
              <w:r w:rsidR="008B3FA8" w:rsidRPr="00FE4B3F">
                <w:rPr>
                  <w:rStyle w:val="Hyperlink"/>
                </w:rPr>
                <w:t>www.safefromharm.org.uk</w:t>
              </w:r>
            </w:hyperlink>
            <w:r w:rsidR="008B3FA8">
              <w:t xml:space="preserve"> </w:t>
            </w:r>
          </w:p>
        </w:tc>
      </w:tr>
      <w:tr w:rsidR="008B3FA8" w:rsidRPr="00D40D54" w:rsidTr="00587EBF">
        <w:tc>
          <w:tcPr>
            <w:tcW w:w="3369" w:type="dxa"/>
          </w:tcPr>
          <w:p w:rsidR="008B3FA8" w:rsidRPr="00D40D54" w:rsidRDefault="008B3FA8" w:rsidP="00587EBF">
            <w:pPr>
              <w:rPr>
                <w:b/>
              </w:rPr>
            </w:pPr>
            <w:r w:rsidRPr="00D40D54">
              <w:rPr>
                <w:b/>
              </w:rPr>
              <w:t>Governance Arrangements</w:t>
            </w:r>
          </w:p>
        </w:tc>
        <w:tc>
          <w:tcPr>
            <w:tcW w:w="5873" w:type="dxa"/>
          </w:tcPr>
          <w:p w:rsidR="008B3FA8" w:rsidRPr="00FE4B3F" w:rsidRDefault="008B3FA8" w:rsidP="00FE4B3F">
            <w:pPr>
              <w:shd w:val="clear" w:color="auto" w:fill="FFFFFF"/>
              <w:spacing w:before="100" w:beforeAutospacing="1" w:after="100" w:afterAutospacing="1"/>
            </w:pPr>
            <w:r>
              <w:rPr>
                <w:lang w:val="en"/>
              </w:rPr>
              <w:t xml:space="preserve">Our board includes members from all statutory agencies, including: Oxfordshire County Council, Thames Valley Police, NHS Oxfordshire, Oxford Health NHS Foundation Trust and the Oxford University Hospitals NHS Trust. Our Board has working relationships with other Boards and partnerships across the County, including the </w:t>
            </w:r>
            <w:r w:rsidRPr="00FE4B3F">
              <w:rPr>
                <w:lang w:val="en"/>
              </w:rPr>
              <w:t>Oxfordshire Health and Wellbeing Board</w:t>
            </w:r>
            <w:r>
              <w:rPr>
                <w:lang w:val="en"/>
              </w:rPr>
              <w:t xml:space="preserve"> to whom we submit an </w:t>
            </w:r>
            <w:r w:rsidRPr="00FE4B3F">
              <w:t xml:space="preserve">Annual </w:t>
            </w:r>
            <w:r>
              <w:t>R</w:t>
            </w:r>
            <w:r w:rsidRPr="00FE4B3F">
              <w:t>eport</w:t>
            </w:r>
            <w:r>
              <w:t xml:space="preserve">. </w:t>
            </w:r>
          </w:p>
        </w:tc>
      </w:tr>
      <w:tr w:rsidR="008B3FA8" w:rsidRPr="00D40D54" w:rsidTr="00587EBF">
        <w:tc>
          <w:tcPr>
            <w:tcW w:w="9242" w:type="dxa"/>
            <w:gridSpan w:val="2"/>
          </w:tcPr>
          <w:p w:rsidR="008B3FA8" w:rsidRPr="00D40D54" w:rsidRDefault="008B3FA8" w:rsidP="00587EBF">
            <w:pPr>
              <w:rPr>
                <w:b/>
              </w:rPr>
            </w:pPr>
            <w:r w:rsidRPr="00D40D54">
              <w:rPr>
                <w:b/>
              </w:rPr>
              <w:t>The current focus for the Partnership</w:t>
            </w:r>
          </w:p>
        </w:tc>
      </w:tr>
      <w:tr w:rsidR="008B3FA8" w:rsidRPr="00D40D54" w:rsidTr="00587EBF">
        <w:tc>
          <w:tcPr>
            <w:tcW w:w="9242" w:type="dxa"/>
            <w:gridSpan w:val="2"/>
          </w:tcPr>
          <w:p w:rsidR="008B3FA8" w:rsidRPr="00D40D54" w:rsidRDefault="008B3FA8" w:rsidP="00587EBF"/>
          <w:p w:rsidR="008B3FA8" w:rsidRPr="00D40D54" w:rsidRDefault="008B3FA8" w:rsidP="00587EBF">
            <w:pPr>
              <w:pStyle w:val="Default"/>
            </w:pPr>
            <w:r w:rsidRPr="00D40D54">
              <w:t xml:space="preserve">The purpose of the Oxfordshire Safeguarding Adults Board is to create a framework within which all responsible agencies work together to ensure a coherent policy for the protection of vulnerable adults at risk of abuse and a consistent and effective response to any circumstances giving ground for concern or formal complaints or expressions of anxiety.  Safeguarding Adult Boards will </w:t>
            </w:r>
            <w:r w:rsidRPr="00F63415">
              <w:rPr>
                <w:color w:val="auto"/>
              </w:rPr>
              <w:t xml:space="preserve">become statutory bodies in April 2015 </w:t>
            </w:r>
            <w:r w:rsidRPr="00D40D54">
              <w:t>following the implementation of the Care Act 2014.</w:t>
            </w:r>
          </w:p>
          <w:p w:rsidR="008B3FA8" w:rsidRPr="00D40D54" w:rsidRDefault="008B3FA8" w:rsidP="00587EBF">
            <w:pPr>
              <w:pStyle w:val="Default"/>
            </w:pPr>
          </w:p>
          <w:p w:rsidR="008B3FA8" w:rsidRPr="00D40D54" w:rsidRDefault="008B3FA8" w:rsidP="00587EBF">
            <w:pPr>
              <w:pStyle w:val="Default"/>
              <w:rPr>
                <w:b/>
                <w:bCs/>
              </w:rPr>
            </w:pPr>
            <w:r w:rsidRPr="00D40D54">
              <w:rPr>
                <w:b/>
                <w:bCs/>
              </w:rPr>
              <w:t xml:space="preserve">Aims: </w:t>
            </w:r>
          </w:p>
          <w:p w:rsidR="008B3FA8" w:rsidRPr="00D40D54" w:rsidRDefault="008B3FA8" w:rsidP="00FE4B3F">
            <w:pPr>
              <w:pStyle w:val="Default"/>
              <w:numPr>
                <w:ilvl w:val="0"/>
                <w:numId w:val="59"/>
              </w:numPr>
            </w:pPr>
            <w:r w:rsidRPr="00D40D54">
              <w:t xml:space="preserve">Ensure that all incidents of suspected harm, abuse or neglect are reported and responded to proportionately, and in doing so: </w:t>
            </w:r>
          </w:p>
          <w:p w:rsidR="008B3FA8" w:rsidRPr="00D40D54" w:rsidRDefault="008B3FA8" w:rsidP="00FE4B3F">
            <w:pPr>
              <w:pStyle w:val="Default"/>
              <w:numPr>
                <w:ilvl w:val="0"/>
                <w:numId w:val="59"/>
              </w:numPr>
            </w:pPr>
            <w:r w:rsidRPr="00D40D54">
              <w:t xml:space="preserve">Enable people to maintain the maximum possible level of independence, choice and control </w:t>
            </w:r>
          </w:p>
          <w:p w:rsidR="008B3FA8" w:rsidRPr="00D40D54" w:rsidRDefault="008B3FA8" w:rsidP="00FE4B3F">
            <w:pPr>
              <w:pStyle w:val="Default"/>
              <w:numPr>
                <w:ilvl w:val="0"/>
                <w:numId w:val="59"/>
              </w:numPr>
            </w:pPr>
            <w:r w:rsidRPr="00D40D54">
              <w:t xml:space="preserve">Promote the wellbeing, security and safety of vulnerable people consistent with their rights, capacity and personal responsibility, and prevent abuse occurring wherever possible </w:t>
            </w:r>
          </w:p>
          <w:p w:rsidR="008B3FA8" w:rsidRPr="00D40D54" w:rsidRDefault="008B3FA8" w:rsidP="00FE4B3F">
            <w:pPr>
              <w:pStyle w:val="Default"/>
              <w:numPr>
                <w:ilvl w:val="0"/>
                <w:numId w:val="59"/>
              </w:numPr>
            </w:pPr>
            <w:r w:rsidRPr="00D40D54">
              <w:t xml:space="preserve">Ensure that people feel able to complain without fear of retribution </w:t>
            </w:r>
          </w:p>
          <w:p w:rsidR="008B3FA8" w:rsidRPr="00D40D54" w:rsidRDefault="008B3FA8" w:rsidP="00FE4B3F">
            <w:pPr>
              <w:pStyle w:val="Default"/>
              <w:numPr>
                <w:ilvl w:val="0"/>
                <w:numId w:val="59"/>
              </w:numPr>
            </w:pPr>
            <w:r w:rsidRPr="00D40D54">
              <w:t xml:space="preserve">Ensure that all professionals who have responsibilities relating to safeguarding adults have the skills and knowledge to carry out this function </w:t>
            </w:r>
          </w:p>
          <w:p w:rsidR="008B3FA8" w:rsidRPr="00D40D54" w:rsidRDefault="008B3FA8" w:rsidP="00FE4B3F">
            <w:pPr>
              <w:pStyle w:val="Default"/>
              <w:numPr>
                <w:ilvl w:val="0"/>
                <w:numId w:val="59"/>
              </w:numPr>
            </w:pPr>
            <w:r w:rsidRPr="00D40D54">
              <w:t xml:space="preserve">Ensure that safeguarding adults is integral to the development and delivery of services in Oxfordshire. </w:t>
            </w:r>
          </w:p>
          <w:p w:rsidR="008B3FA8" w:rsidRPr="00D40D54" w:rsidRDefault="008B3FA8" w:rsidP="00587EBF">
            <w:pPr>
              <w:pStyle w:val="Default"/>
            </w:pPr>
          </w:p>
          <w:p w:rsidR="008B3FA8" w:rsidRPr="00D40D54" w:rsidRDefault="008B3FA8" w:rsidP="00587EBF">
            <w:r w:rsidRPr="00D40D54">
              <w:t xml:space="preserve">There are six sub groups which report to the Safeguarding Adults Board, which in addition to the list below includes a Monitoring and Evaluation Sub Group, which has been established in the last year to scrutinise and hold to Board to account. </w:t>
            </w:r>
          </w:p>
          <w:p w:rsidR="008B3FA8" w:rsidRPr="00D40D54" w:rsidRDefault="008B3FA8" w:rsidP="00587EBF"/>
          <w:p w:rsidR="008B3FA8" w:rsidRPr="00D40D54" w:rsidRDefault="008B3FA8" w:rsidP="00FE4B3F">
            <w:pPr>
              <w:pStyle w:val="ListParagraph"/>
              <w:numPr>
                <w:ilvl w:val="0"/>
                <w:numId w:val="60"/>
              </w:numPr>
            </w:pPr>
            <w:r w:rsidRPr="00FE4B3F">
              <w:rPr>
                <w:b/>
                <w:bCs/>
                <w:i/>
                <w:iCs/>
              </w:rPr>
              <w:t xml:space="preserve">Policy and Practice: </w:t>
            </w:r>
            <w:r w:rsidRPr="00D40D54">
              <w:t>To oversee the development and implementation and review of local policies and procedures that ensure: the abuse of vulnerable adults is identified where it is occurring; that there is a clear reporting pathway; that there is an effective and coordinated response to abuse where it is occurring; that the needs and wishes of the vulnerable adult are central to the adult protection process</w:t>
            </w:r>
          </w:p>
          <w:p w:rsidR="008B3FA8" w:rsidRPr="00D40D54" w:rsidRDefault="008B3FA8" w:rsidP="00FE4B3F">
            <w:pPr>
              <w:pStyle w:val="ListParagraph"/>
              <w:numPr>
                <w:ilvl w:val="0"/>
                <w:numId w:val="60"/>
              </w:numPr>
            </w:pPr>
            <w:r w:rsidRPr="00FE4B3F">
              <w:rPr>
                <w:b/>
                <w:bCs/>
                <w:i/>
                <w:iCs/>
              </w:rPr>
              <w:t xml:space="preserve">Training: </w:t>
            </w:r>
            <w:r w:rsidRPr="00D40D54">
              <w:t>To provide a comprehensive multi agency training programme to support single agency training in the areas of prevention, recognition and responsiveness to abuse and neglect.</w:t>
            </w:r>
          </w:p>
          <w:p w:rsidR="008B3FA8" w:rsidRPr="00D40D54" w:rsidRDefault="008B3FA8" w:rsidP="00FE4B3F">
            <w:pPr>
              <w:pStyle w:val="ListParagraph"/>
              <w:numPr>
                <w:ilvl w:val="0"/>
                <w:numId w:val="60"/>
              </w:numPr>
            </w:pPr>
            <w:r w:rsidRPr="00FE4B3F">
              <w:rPr>
                <w:b/>
                <w:bCs/>
                <w:i/>
                <w:iCs/>
              </w:rPr>
              <w:t>Serious Case Review</w:t>
            </w:r>
            <w:r w:rsidRPr="00D40D54">
              <w:t xml:space="preserve"> : To provide assurances to the OSAB that the recommendations and learning from all relevant serious case reviews (with multi agency characteristics) have been considered, and that the relevant learning and recommendations are being implemented.  </w:t>
            </w:r>
          </w:p>
          <w:p w:rsidR="008B3FA8" w:rsidRPr="00D40D54" w:rsidRDefault="008B3FA8" w:rsidP="00FE4B3F">
            <w:pPr>
              <w:pStyle w:val="ListParagraph"/>
              <w:numPr>
                <w:ilvl w:val="0"/>
                <w:numId w:val="60"/>
              </w:numPr>
            </w:pPr>
            <w:r w:rsidRPr="00FE4B3F">
              <w:rPr>
                <w:b/>
                <w:bCs/>
                <w:i/>
                <w:iCs/>
              </w:rPr>
              <w:t xml:space="preserve">Dignity in Care: </w:t>
            </w:r>
            <w:r w:rsidRPr="00D40D54">
              <w:t>To help ensure that everyone in Oxfordshire experiences dignity in the care and support they receive, and to assist OSAB in its work.</w:t>
            </w:r>
          </w:p>
          <w:p w:rsidR="008B3FA8" w:rsidRPr="00D40D54" w:rsidRDefault="008B3FA8" w:rsidP="00FE4B3F">
            <w:pPr>
              <w:pStyle w:val="ListParagraph"/>
              <w:numPr>
                <w:ilvl w:val="0"/>
                <w:numId w:val="60"/>
              </w:numPr>
            </w:pPr>
            <w:r w:rsidRPr="00FE4B3F">
              <w:rPr>
                <w:b/>
                <w:bCs/>
                <w:i/>
                <w:iCs/>
              </w:rPr>
              <w:t>Deprivation of Liberty Safeguards</w:t>
            </w:r>
            <w:r w:rsidRPr="00D40D54">
              <w:t>: To ensure that Deprivation of Liberty Safeguards are effectively and lawfully applied across Oxfordshire.</w:t>
            </w:r>
          </w:p>
          <w:p w:rsidR="008B3FA8" w:rsidRPr="00F63415" w:rsidRDefault="008B3FA8" w:rsidP="00FE4B3F">
            <w:pPr>
              <w:pStyle w:val="ListParagraph"/>
              <w:numPr>
                <w:ilvl w:val="0"/>
                <w:numId w:val="60"/>
              </w:numPr>
            </w:pPr>
            <w:r w:rsidRPr="00FE4B3F">
              <w:rPr>
                <w:b/>
                <w:bCs/>
                <w:i/>
                <w:iCs/>
              </w:rPr>
              <w:t>Monitoring and Evaluation</w:t>
            </w:r>
            <w:r w:rsidRPr="00F63415">
              <w:t>: To receive data on agencies’ performance and to undertake audits to establish agencies’ effectiveness in safeguarding adults at risk.</w:t>
            </w:r>
          </w:p>
          <w:p w:rsidR="008B3FA8" w:rsidRPr="00D40D54" w:rsidRDefault="008B3FA8" w:rsidP="00587EBF"/>
          <w:p w:rsidR="008B3FA8" w:rsidRPr="00D40D54" w:rsidRDefault="008B3FA8" w:rsidP="00587EBF">
            <w:pPr>
              <w:rPr>
                <w:rFonts w:eastAsia="Times New Roman"/>
                <w:lang w:eastAsia="en-GB"/>
              </w:rPr>
            </w:pPr>
          </w:p>
        </w:tc>
      </w:tr>
      <w:tr w:rsidR="008B3FA8" w:rsidRPr="00D40D54" w:rsidTr="00587EBF">
        <w:trPr>
          <w:trHeight w:val="293"/>
        </w:trPr>
        <w:tc>
          <w:tcPr>
            <w:tcW w:w="9242" w:type="dxa"/>
            <w:gridSpan w:val="2"/>
          </w:tcPr>
          <w:p w:rsidR="008B3FA8" w:rsidRPr="00D40D54" w:rsidRDefault="008B3FA8" w:rsidP="00587EBF">
            <w:pPr>
              <w:rPr>
                <w:b/>
              </w:rPr>
            </w:pPr>
            <w:r w:rsidRPr="00D40D54">
              <w:rPr>
                <w:b/>
              </w:rPr>
              <w:t>The Partnership’s key achievements in the last year</w:t>
            </w:r>
          </w:p>
        </w:tc>
      </w:tr>
      <w:tr w:rsidR="008B3FA8" w:rsidRPr="00D40D54" w:rsidTr="00587EBF">
        <w:tc>
          <w:tcPr>
            <w:tcW w:w="9242" w:type="dxa"/>
            <w:gridSpan w:val="2"/>
          </w:tcPr>
          <w:p w:rsidR="008B3FA8" w:rsidRPr="00D40D54" w:rsidRDefault="008B3FA8" w:rsidP="00587EBF">
            <w:pPr>
              <w:pStyle w:val="ListParagraph"/>
            </w:pPr>
          </w:p>
          <w:p w:rsidR="008B3FA8" w:rsidRPr="00D40D54" w:rsidRDefault="008B3FA8" w:rsidP="008B3FA8">
            <w:pPr>
              <w:pStyle w:val="ListParagraph"/>
              <w:numPr>
                <w:ilvl w:val="0"/>
                <w:numId w:val="55"/>
              </w:numPr>
            </w:pPr>
            <w:r w:rsidRPr="00D40D54">
              <w:t xml:space="preserve">Establishment of the Monitoring and Evaluation sub group to review the effectiveness of the Board in achieving meaningful outcomes. </w:t>
            </w:r>
          </w:p>
          <w:p w:rsidR="008B3FA8" w:rsidRPr="00D40D54" w:rsidRDefault="008B3FA8" w:rsidP="008B3FA8">
            <w:pPr>
              <w:pStyle w:val="ListParagraph"/>
              <w:numPr>
                <w:ilvl w:val="0"/>
                <w:numId w:val="55"/>
              </w:numPr>
            </w:pPr>
            <w:r w:rsidRPr="00D40D54">
              <w:t xml:space="preserve">The Board has taken part in consultations about The Care Act to ensure that issues relevant to safeguarding adults are appropriately considered and reflected. </w:t>
            </w:r>
          </w:p>
          <w:p w:rsidR="008B3FA8" w:rsidRPr="00D40D54" w:rsidRDefault="008B3FA8" w:rsidP="008B3FA8">
            <w:pPr>
              <w:pStyle w:val="ListParagraph"/>
              <w:numPr>
                <w:ilvl w:val="0"/>
                <w:numId w:val="55"/>
              </w:numPr>
            </w:pPr>
            <w:r w:rsidRPr="00D40D54">
              <w:t xml:space="preserve">The establishment of a formal structure to support the Serious Case Review process. One serious Case Review has now been completed and there are a number of other cases that being considered by the Serious Case review sub group. </w:t>
            </w:r>
          </w:p>
          <w:p w:rsidR="008B3FA8" w:rsidRPr="00D40D54" w:rsidRDefault="008B3FA8" w:rsidP="008B3FA8">
            <w:pPr>
              <w:pStyle w:val="ListParagraph"/>
              <w:numPr>
                <w:ilvl w:val="0"/>
                <w:numId w:val="55"/>
              </w:numPr>
            </w:pPr>
            <w:r w:rsidRPr="00D40D54">
              <w:t>The Board has responded to key legislative changes such as the Cheshire West judgement and has held responsible agencies to account to ensure that the requirements of the Supreme</w:t>
            </w:r>
            <w:r>
              <w:t xml:space="preserve"> </w:t>
            </w:r>
            <w:r w:rsidRPr="00D40D54">
              <w:t>Court judgement are implemented in a consistent, safe manner.</w:t>
            </w:r>
          </w:p>
          <w:p w:rsidR="008B3FA8" w:rsidRPr="00D40D54" w:rsidRDefault="008B3FA8" w:rsidP="008B3FA8">
            <w:pPr>
              <w:pStyle w:val="ListParagraph"/>
              <w:numPr>
                <w:ilvl w:val="0"/>
                <w:numId w:val="55"/>
              </w:numPr>
            </w:pPr>
            <w:r w:rsidRPr="00D40D54">
              <w:t xml:space="preserve">Hearing the voice of the service user; The Board oversaw the trial of 'Making Safeguarding Personal', which requires the voice of the vulnerable adult to be central to the safeguarding process, focusing on what outcome they wished to achieve as a result of the professional intervention. Impact assessments were completed and found there to be some significant benefits to those involved. </w:t>
            </w:r>
          </w:p>
          <w:p w:rsidR="008B3FA8" w:rsidRPr="00D40D54" w:rsidRDefault="008B3FA8" w:rsidP="008B3FA8">
            <w:pPr>
              <w:pStyle w:val="ListParagraph"/>
              <w:numPr>
                <w:ilvl w:val="0"/>
                <w:numId w:val="55"/>
              </w:numPr>
            </w:pPr>
            <w:r w:rsidRPr="00D40D54">
              <w:t>An escalation policy has been developed and in a recent audit found to be working effectively.</w:t>
            </w:r>
          </w:p>
          <w:p w:rsidR="008B3FA8" w:rsidRPr="00D40D54" w:rsidRDefault="008B3FA8" w:rsidP="008B3FA8">
            <w:pPr>
              <w:pStyle w:val="ListParagraph"/>
              <w:numPr>
                <w:ilvl w:val="0"/>
                <w:numId w:val="55"/>
              </w:numPr>
            </w:pPr>
            <w:r w:rsidRPr="00D40D54">
              <w:t>Membership of the Board has continued to have a good representation from key agencies, with some new additions, such as prisons and probation</w:t>
            </w:r>
          </w:p>
          <w:p w:rsidR="008B3FA8" w:rsidRPr="00D40D54" w:rsidRDefault="008B3FA8" w:rsidP="008B3FA8">
            <w:pPr>
              <w:pStyle w:val="ListParagraph"/>
              <w:numPr>
                <w:ilvl w:val="0"/>
                <w:numId w:val="55"/>
              </w:numPr>
            </w:pPr>
            <w:r w:rsidRPr="00D40D54">
              <w:t>Performance and Complaints;</w:t>
            </w:r>
            <w:r w:rsidRPr="00D40D54">
              <w:rPr>
                <w:b/>
              </w:rPr>
              <w:t xml:space="preserve"> </w:t>
            </w:r>
            <w:r w:rsidRPr="00D40D54">
              <w:t xml:space="preserve">The Board requires member agencies to submit information about performance and analysis and learning from complaints. </w:t>
            </w:r>
          </w:p>
          <w:p w:rsidR="008B3FA8" w:rsidRPr="00D40D54" w:rsidRDefault="008B3FA8" w:rsidP="00FE4B3F">
            <w:pPr>
              <w:pStyle w:val="ListParagraph"/>
              <w:numPr>
                <w:ilvl w:val="0"/>
                <w:numId w:val="55"/>
              </w:numPr>
            </w:pPr>
            <w:r w:rsidRPr="00D40D54">
              <w:t xml:space="preserve"> The Board has continued to maintain and develop strategic links with other partnerships: Oxfordshire Safeguarding Adults Childrens Board; Healthwatch; the Health and Wellbeing Board; The Community Safety Partnership</w:t>
            </w:r>
          </w:p>
        </w:tc>
      </w:tr>
      <w:tr w:rsidR="008B3FA8" w:rsidRPr="00D40D54" w:rsidTr="00587EBF">
        <w:tc>
          <w:tcPr>
            <w:tcW w:w="9242" w:type="dxa"/>
            <w:gridSpan w:val="2"/>
          </w:tcPr>
          <w:p w:rsidR="008B3FA8" w:rsidRPr="00D40D54" w:rsidRDefault="008B3FA8" w:rsidP="00587EBF">
            <w:pPr>
              <w:rPr>
                <w:b/>
                <w:highlight w:val="yellow"/>
              </w:rPr>
            </w:pPr>
            <w:r w:rsidRPr="00D40D54">
              <w:rPr>
                <w:b/>
              </w:rPr>
              <w:t>The aims for the Partnership in the year ahead</w:t>
            </w:r>
          </w:p>
        </w:tc>
      </w:tr>
      <w:tr w:rsidR="008B3FA8" w:rsidRPr="00D40D54" w:rsidTr="00587EBF">
        <w:tc>
          <w:tcPr>
            <w:tcW w:w="9242" w:type="dxa"/>
            <w:gridSpan w:val="2"/>
          </w:tcPr>
          <w:p w:rsidR="008B3FA8" w:rsidRPr="00D40D54" w:rsidRDefault="008B3FA8" w:rsidP="00587EBF"/>
          <w:p w:rsidR="008B3FA8" w:rsidRPr="00D40D54" w:rsidRDefault="008B3FA8" w:rsidP="008B3FA8">
            <w:pPr>
              <w:pStyle w:val="ListParagraph"/>
              <w:numPr>
                <w:ilvl w:val="0"/>
                <w:numId w:val="55"/>
              </w:numPr>
            </w:pPr>
            <w:r>
              <w:t>T</w:t>
            </w:r>
            <w:r w:rsidRPr="00D40D54">
              <w:t>o ensure that findings from Serious Case Reviews are shared with the Board and that each agency is held to account to ensure that the learning from Serious Case Reviews are embedded in the way that organisations work and interact with each other.</w:t>
            </w:r>
          </w:p>
          <w:p w:rsidR="008B3FA8" w:rsidRPr="00D40D54" w:rsidRDefault="008B3FA8" w:rsidP="008B3FA8">
            <w:pPr>
              <w:pStyle w:val="ListParagraph"/>
              <w:numPr>
                <w:ilvl w:val="0"/>
                <w:numId w:val="55"/>
              </w:numPr>
            </w:pPr>
            <w:r w:rsidRPr="00D40D54">
              <w:t xml:space="preserve">Focus on continuing to build relationships with the Children's Safeguarding Board to share learning and reduce duplication. This will include the sharing of learning of other Boards from Case reviews.  </w:t>
            </w:r>
          </w:p>
          <w:p w:rsidR="008B3FA8" w:rsidRPr="00D40D54" w:rsidRDefault="008B3FA8" w:rsidP="008B3FA8">
            <w:pPr>
              <w:pStyle w:val="ListParagraph"/>
              <w:numPr>
                <w:ilvl w:val="0"/>
                <w:numId w:val="55"/>
              </w:numPr>
            </w:pPr>
            <w:r w:rsidRPr="00D40D54">
              <w:t xml:space="preserve">Continued focus on Deprivation of Liberty Safeguards as a result of Cheshire West and support organisations as they respond to the requirements of this judgement. </w:t>
            </w:r>
          </w:p>
          <w:p w:rsidR="008B3FA8" w:rsidRPr="00F63415" w:rsidRDefault="008B3FA8" w:rsidP="008B3FA8">
            <w:pPr>
              <w:pStyle w:val="ListParagraph"/>
              <w:numPr>
                <w:ilvl w:val="0"/>
                <w:numId w:val="55"/>
              </w:numPr>
            </w:pPr>
            <w:r w:rsidRPr="00F63415">
              <w:t>To oversee agencies’ implementation of the Care Act in respect of adults at risk.</w:t>
            </w:r>
          </w:p>
          <w:p w:rsidR="008B3FA8" w:rsidRPr="00D40D54" w:rsidRDefault="008B3FA8" w:rsidP="00FE4B3F"/>
        </w:tc>
      </w:tr>
      <w:tr w:rsidR="008B3FA8" w:rsidRPr="00D40D54" w:rsidTr="00587EBF">
        <w:tc>
          <w:tcPr>
            <w:tcW w:w="9242" w:type="dxa"/>
            <w:gridSpan w:val="2"/>
          </w:tcPr>
          <w:p w:rsidR="008B3FA8" w:rsidRPr="00D40D54" w:rsidRDefault="008B3FA8" w:rsidP="00587EBF">
            <w:pPr>
              <w:rPr>
                <w:b/>
              </w:rPr>
            </w:pPr>
            <w:r w:rsidRPr="00D40D54">
              <w:rPr>
                <w:b/>
              </w:rPr>
              <w:t>The key challenges for the Partnership and how these will be addressed going forward.</w:t>
            </w:r>
          </w:p>
        </w:tc>
      </w:tr>
      <w:tr w:rsidR="008B3FA8" w:rsidRPr="00D40D54" w:rsidTr="00587EBF">
        <w:trPr>
          <w:trHeight w:val="70"/>
        </w:trPr>
        <w:tc>
          <w:tcPr>
            <w:tcW w:w="9242" w:type="dxa"/>
            <w:gridSpan w:val="2"/>
          </w:tcPr>
          <w:p w:rsidR="008B3FA8" w:rsidRPr="00D40D54" w:rsidRDefault="008B3FA8" w:rsidP="00587EBF"/>
          <w:p w:rsidR="008B3FA8" w:rsidRDefault="008B3FA8" w:rsidP="008B3FA8">
            <w:pPr>
              <w:pStyle w:val="ListParagraph"/>
              <w:numPr>
                <w:ilvl w:val="0"/>
                <w:numId w:val="55"/>
              </w:numPr>
            </w:pPr>
            <w:r w:rsidRPr="00D40D54">
              <w:t xml:space="preserve">There is a challenge about the membership of the Board. The Board continues to receive requests for additional people to join the group and the challenge is to ensure that the Board doesn't grow too large that it becomes less effective, but that those who aren't represented at the main Board have an opportunity to have feedback and / or have membership of a relevant sub group. </w:t>
            </w:r>
          </w:p>
          <w:p w:rsidR="008B3FA8" w:rsidRPr="00D40D54" w:rsidRDefault="008B3FA8" w:rsidP="00FE4B3F">
            <w:pPr>
              <w:pStyle w:val="ListParagraph"/>
            </w:pPr>
          </w:p>
          <w:p w:rsidR="008B3FA8" w:rsidRPr="00F63415" w:rsidRDefault="008B3FA8" w:rsidP="008B3FA8">
            <w:pPr>
              <w:pStyle w:val="ListParagraph"/>
              <w:numPr>
                <w:ilvl w:val="0"/>
                <w:numId w:val="55"/>
              </w:numPr>
            </w:pPr>
            <w:r w:rsidRPr="00F63415">
              <w:t xml:space="preserve">To develop a budget for the Board to ensure it had the capacity to undertake its statutory functions. This will be addressed by achieving agreement with the statutory members of the Board. </w:t>
            </w:r>
          </w:p>
          <w:p w:rsidR="008B3FA8" w:rsidRPr="00D40D54" w:rsidRDefault="008B3FA8" w:rsidP="00587EBF"/>
        </w:tc>
      </w:tr>
    </w:tbl>
    <w:p w:rsidR="008B3FA8" w:rsidRDefault="008B3FA8" w:rsidP="008B3FA8"/>
    <w:p w:rsidR="0000655B" w:rsidRPr="0000655B" w:rsidRDefault="0000655B" w:rsidP="008B3FA8">
      <w:pPr>
        <w:rPr>
          <w:b/>
          <w:i/>
          <w:u w:val="single"/>
        </w:rPr>
      </w:pPr>
    </w:p>
    <w:sectPr w:rsidR="0000655B" w:rsidRPr="0000655B" w:rsidSect="005C1896">
      <w:headerReference w:type="defaul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162" w:rsidRDefault="00D85162" w:rsidP="007303BA">
      <w:r>
        <w:separator/>
      </w:r>
    </w:p>
  </w:endnote>
  <w:endnote w:type="continuationSeparator" w:id="0">
    <w:p w:rsidR="00D85162" w:rsidRDefault="00D85162" w:rsidP="00730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162" w:rsidRDefault="00D85162" w:rsidP="007303BA">
      <w:r>
        <w:separator/>
      </w:r>
    </w:p>
  </w:footnote>
  <w:footnote w:type="continuationSeparator" w:id="0">
    <w:p w:rsidR="00D85162" w:rsidRDefault="00D85162" w:rsidP="00730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4F4" w:rsidRPr="007303BA" w:rsidRDefault="00FE34F4">
    <w:pPr>
      <w:pStyle w:val="Header"/>
      <w:rPr>
        <w:sz w:val="20"/>
        <w:szCs w:val="20"/>
      </w:rPr>
    </w:pPr>
    <w:r w:rsidRPr="007303BA">
      <w:rPr>
        <w:sz w:val="20"/>
        <w:szCs w:val="20"/>
      </w:rPr>
      <w:t>Oxfordshire Partnership</w:t>
    </w:r>
    <w:r w:rsidR="00212523">
      <w:rPr>
        <w:sz w:val="20"/>
        <w:szCs w:val="20"/>
      </w:rPr>
      <w:t>s</w:t>
    </w:r>
    <w:r w:rsidRPr="007303BA">
      <w:rPr>
        <w:sz w:val="20"/>
        <w:szCs w:val="20"/>
      </w:rPr>
      <w:t xml:space="preserve"> </w:t>
    </w:r>
    <w:r w:rsidR="005C1896">
      <w:rPr>
        <w:sz w:val="20"/>
        <w:szCs w:val="20"/>
      </w:rPr>
      <w:tab/>
    </w:r>
    <w:r w:rsidR="005C1896">
      <w:rPr>
        <w:sz w:val="20"/>
        <w:szCs w:val="20"/>
      </w:rPr>
      <w:tab/>
    </w:r>
  </w:p>
  <w:p w:rsidR="00FE34F4" w:rsidRPr="009003B6" w:rsidRDefault="00212523">
    <w:pPr>
      <w:pStyle w:val="Header"/>
      <w:rPr>
        <w:i/>
        <w:sz w:val="20"/>
        <w:szCs w:val="20"/>
      </w:rPr>
    </w:pPr>
    <w:r>
      <w:rPr>
        <w:i/>
        <w:sz w:val="20"/>
        <w:szCs w:val="20"/>
      </w:rPr>
      <w:t>02.10</w:t>
    </w:r>
    <w:r w:rsidR="00FE34F4">
      <w:rPr>
        <w:i/>
        <w:sz w:val="20"/>
        <w:szCs w:val="20"/>
      </w:rPr>
      <w:t>.2014</w:t>
    </w:r>
  </w:p>
  <w:p w:rsidR="00FE34F4" w:rsidRPr="007303BA" w:rsidRDefault="00FE34F4">
    <w:pPr>
      <w:pStyle w:val="Header"/>
      <w:rPr>
        <w:sz w:val="20"/>
        <w:szCs w:val="20"/>
      </w:rPr>
    </w:pPr>
    <w:r>
      <w:rPr>
        <w:sz w:val="20"/>
        <w:szCs w:val="20"/>
      </w:rPr>
      <w:t>Annual Update Report</w:t>
    </w:r>
  </w:p>
  <w:p w:rsidR="00FE34F4" w:rsidRDefault="00FE34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EDA"/>
    <w:multiLevelType w:val="hybridMultilevel"/>
    <w:tmpl w:val="9A486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A53655"/>
    <w:multiLevelType w:val="hybridMultilevel"/>
    <w:tmpl w:val="ED708CB8"/>
    <w:lvl w:ilvl="0" w:tplc="2F7E5FAE">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36C010E"/>
    <w:multiLevelType w:val="hybridMultilevel"/>
    <w:tmpl w:val="6456A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1E3471"/>
    <w:multiLevelType w:val="hybridMultilevel"/>
    <w:tmpl w:val="34AC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C77507"/>
    <w:multiLevelType w:val="hybridMultilevel"/>
    <w:tmpl w:val="B142DCE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5F1D5A"/>
    <w:multiLevelType w:val="hybridMultilevel"/>
    <w:tmpl w:val="7CA66C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6BA2EA6"/>
    <w:multiLevelType w:val="hybridMultilevel"/>
    <w:tmpl w:val="CABAEF82"/>
    <w:lvl w:ilvl="0" w:tplc="BADADFC2">
      <w:start w:val="1"/>
      <w:numFmt w:val="decimal"/>
      <w:lvlText w:val="%1."/>
      <w:lvlJc w:val="left"/>
      <w:pPr>
        <w:ind w:left="360" w:hanging="360"/>
      </w:pPr>
      <w:rPr>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08294968"/>
    <w:multiLevelType w:val="hybridMultilevel"/>
    <w:tmpl w:val="D4A44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07010F"/>
    <w:multiLevelType w:val="hybridMultilevel"/>
    <w:tmpl w:val="7658A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A2C72CC"/>
    <w:multiLevelType w:val="hybridMultilevel"/>
    <w:tmpl w:val="8F0C5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AF57B1F"/>
    <w:multiLevelType w:val="hybridMultilevel"/>
    <w:tmpl w:val="51B4D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ED64769"/>
    <w:multiLevelType w:val="hybridMultilevel"/>
    <w:tmpl w:val="C67E7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C36D64"/>
    <w:multiLevelType w:val="hybridMultilevel"/>
    <w:tmpl w:val="AF2E25C8"/>
    <w:lvl w:ilvl="0" w:tplc="D97C0642">
      <w:start w:val="11"/>
      <w:numFmt w:val="bullet"/>
      <w:lvlText w:val="-"/>
      <w:lvlJc w:val="left"/>
      <w:pPr>
        <w:ind w:left="360" w:hanging="360"/>
      </w:pPr>
      <w:rPr>
        <w:rFonts w:ascii="Cambria" w:eastAsiaTheme="minorEastAsia" w:hAnsi="Cambria" w:cstheme="minorBidi"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0FED2444"/>
    <w:multiLevelType w:val="hybridMultilevel"/>
    <w:tmpl w:val="D862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09C678E"/>
    <w:multiLevelType w:val="hybridMultilevel"/>
    <w:tmpl w:val="220A2BB4"/>
    <w:lvl w:ilvl="0" w:tplc="D97C0642">
      <w:start w:val="11"/>
      <w:numFmt w:val="bullet"/>
      <w:lvlText w:val="-"/>
      <w:lvlJc w:val="left"/>
      <w:pPr>
        <w:tabs>
          <w:tab w:val="num" w:pos="720"/>
        </w:tabs>
        <w:ind w:left="720" w:hanging="360"/>
      </w:pPr>
      <w:rPr>
        <w:rFonts w:ascii="Cambria" w:eastAsiaTheme="minorEastAsia" w:hAnsi="Cambria" w:cstheme="minorBidi"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2626E0E"/>
    <w:multiLevelType w:val="hybridMultilevel"/>
    <w:tmpl w:val="B9FC9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6E46574"/>
    <w:multiLevelType w:val="hybridMultilevel"/>
    <w:tmpl w:val="B9660866"/>
    <w:lvl w:ilvl="0" w:tplc="D5640016">
      <w:start w:val="1"/>
      <w:numFmt w:val="decimal"/>
      <w:lvlText w:val="%1."/>
      <w:lvlJc w:val="left"/>
      <w:pPr>
        <w:ind w:left="720" w:hanging="360"/>
      </w:pPr>
      <w:rPr>
        <w:b w:val="0"/>
      </w:rPr>
    </w:lvl>
    <w:lvl w:ilvl="1" w:tplc="08090019">
      <w:start w:val="1"/>
      <w:numFmt w:val="lowerLetter"/>
      <w:lvlText w:val="%2."/>
      <w:lvlJc w:val="left"/>
      <w:pPr>
        <w:ind w:left="50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AFE2AA7"/>
    <w:multiLevelType w:val="hybridMultilevel"/>
    <w:tmpl w:val="17964BF2"/>
    <w:lvl w:ilvl="0" w:tplc="D9F08686">
      <w:start w:val="1"/>
      <w:numFmt w:val="bullet"/>
      <w:lvlText w:val="•"/>
      <w:lvlJc w:val="left"/>
      <w:pPr>
        <w:tabs>
          <w:tab w:val="num" w:pos="720"/>
        </w:tabs>
        <w:ind w:left="720" w:hanging="360"/>
      </w:pPr>
      <w:rPr>
        <w:rFonts w:ascii="Arial" w:hAnsi="Arial" w:hint="default"/>
      </w:rPr>
    </w:lvl>
    <w:lvl w:ilvl="1" w:tplc="5C0A5FBC" w:tentative="1">
      <w:start w:val="1"/>
      <w:numFmt w:val="bullet"/>
      <w:lvlText w:val="•"/>
      <w:lvlJc w:val="left"/>
      <w:pPr>
        <w:tabs>
          <w:tab w:val="num" w:pos="1440"/>
        </w:tabs>
        <w:ind w:left="1440" w:hanging="360"/>
      </w:pPr>
      <w:rPr>
        <w:rFonts w:ascii="Arial" w:hAnsi="Arial" w:hint="default"/>
      </w:rPr>
    </w:lvl>
    <w:lvl w:ilvl="2" w:tplc="414670EC" w:tentative="1">
      <w:start w:val="1"/>
      <w:numFmt w:val="bullet"/>
      <w:lvlText w:val="•"/>
      <w:lvlJc w:val="left"/>
      <w:pPr>
        <w:tabs>
          <w:tab w:val="num" w:pos="2160"/>
        </w:tabs>
        <w:ind w:left="2160" w:hanging="360"/>
      </w:pPr>
      <w:rPr>
        <w:rFonts w:ascii="Arial" w:hAnsi="Arial" w:hint="default"/>
      </w:rPr>
    </w:lvl>
    <w:lvl w:ilvl="3" w:tplc="77F2E232" w:tentative="1">
      <w:start w:val="1"/>
      <w:numFmt w:val="bullet"/>
      <w:lvlText w:val="•"/>
      <w:lvlJc w:val="left"/>
      <w:pPr>
        <w:tabs>
          <w:tab w:val="num" w:pos="2880"/>
        </w:tabs>
        <w:ind w:left="2880" w:hanging="360"/>
      </w:pPr>
      <w:rPr>
        <w:rFonts w:ascii="Arial" w:hAnsi="Arial" w:hint="default"/>
      </w:rPr>
    </w:lvl>
    <w:lvl w:ilvl="4" w:tplc="3E187E58" w:tentative="1">
      <w:start w:val="1"/>
      <w:numFmt w:val="bullet"/>
      <w:lvlText w:val="•"/>
      <w:lvlJc w:val="left"/>
      <w:pPr>
        <w:tabs>
          <w:tab w:val="num" w:pos="3600"/>
        </w:tabs>
        <w:ind w:left="3600" w:hanging="360"/>
      </w:pPr>
      <w:rPr>
        <w:rFonts w:ascii="Arial" w:hAnsi="Arial" w:hint="default"/>
      </w:rPr>
    </w:lvl>
    <w:lvl w:ilvl="5" w:tplc="6810B828" w:tentative="1">
      <w:start w:val="1"/>
      <w:numFmt w:val="bullet"/>
      <w:lvlText w:val="•"/>
      <w:lvlJc w:val="left"/>
      <w:pPr>
        <w:tabs>
          <w:tab w:val="num" w:pos="4320"/>
        </w:tabs>
        <w:ind w:left="4320" w:hanging="360"/>
      </w:pPr>
      <w:rPr>
        <w:rFonts w:ascii="Arial" w:hAnsi="Arial" w:hint="default"/>
      </w:rPr>
    </w:lvl>
    <w:lvl w:ilvl="6" w:tplc="53928014" w:tentative="1">
      <w:start w:val="1"/>
      <w:numFmt w:val="bullet"/>
      <w:lvlText w:val="•"/>
      <w:lvlJc w:val="left"/>
      <w:pPr>
        <w:tabs>
          <w:tab w:val="num" w:pos="5040"/>
        </w:tabs>
        <w:ind w:left="5040" w:hanging="360"/>
      </w:pPr>
      <w:rPr>
        <w:rFonts w:ascii="Arial" w:hAnsi="Arial" w:hint="default"/>
      </w:rPr>
    </w:lvl>
    <w:lvl w:ilvl="7" w:tplc="FF8C4A60" w:tentative="1">
      <w:start w:val="1"/>
      <w:numFmt w:val="bullet"/>
      <w:lvlText w:val="•"/>
      <w:lvlJc w:val="left"/>
      <w:pPr>
        <w:tabs>
          <w:tab w:val="num" w:pos="5760"/>
        </w:tabs>
        <w:ind w:left="5760" w:hanging="360"/>
      </w:pPr>
      <w:rPr>
        <w:rFonts w:ascii="Arial" w:hAnsi="Arial" w:hint="default"/>
      </w:rPr>
    </w:lvl>
    <w:lvl w:ilvl="8" w:tplc="DAC09166" w:tentative="1">
      <w:start w:val="1"/>
      <w:numFmt w:val="bullet"/>
      <w:lvlText w:val="•"/>
      <w:lvlJc w:val="left"/>
      <w:pPr>
        <w:tabs>
          <w:tab w:val="num" w:pos="6480"/>
        </w:tabs>
        <w:ind w:left="6480" w:hanging="360"/>
      </w:pPr>
      <w:rPr>
        <w:rFonts w:ascii="Arial" w:hAnsi="Arial" w:hint="default"/>
      </w:rPr>
    </w:lvl>
  </w:abstractNum>
  <w:abstractNum w:abstractNumId="18">
    <w:nsid w:val="1B512546"/>
    <w:multiLevelType w:val="hybridMultilevel"/>
    <w:tmpl w:val="B21A3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DEC283F"/>
    <w:multiLevelType w:val="hybridMultilevel"/>
    <w:tmpl w:val="64EA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1DFF0039"/>
    <w:multiLevelType w:val="hybridMultilevel"/>
    <w:tmpl w:val="77AEC9C2"/>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1">
    <w:nsid w:val="1E4909B6"/>
    <w:multiLevelType w:val="hybridMultilevel"/>
    <w:tmpl w:val="8D8E0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44815A2"/>
    <w:multiLevelType w:val="hybridMultilevel"/>
    <w:tmpl w:val="42180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4AC0838"/>
    <w:multiLevelType w:val="hybridMultilevel"/>
    <w:tmpl w:val="DE6A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5794FC6"/>
    <w:multiLevelType w:val="hybridMultilevel"/>
    <w:tmpl w:val="3E5014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26B64D10"/>
    <w:multiLevelType w:val="hybridMultilevel"/>
    <w:tmpl w:val="5BA8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8B86573"/>
    <w:multiLevelType w:val="hybridMultilevel"/>
    <w:tmpl w:val="5EE62E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28FF6D79"/>
    <w:multiLevelType w:val="hybridMultilevel"/>
    <w:tmpl w:val="15F6DFAC"/>
    <w:lvl w:ilvl="0" w:tplc="08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A0D6F2E"/>
    <w:multiLevelType w:val="hybridMultilevel"/>
    <w:tmpl w:val="F1DC4C42"/>
    <w:lvl w:ilvl="0" w:tplc="08090001">
      <w:start w:val="1"/>
      <w:numFmt w:val="bullet"/>
      <w:lvlText w:val=""/>
      <w:lvlJc w:val="left"/>
      <w:pPr>
        <w:ind w:left="720" w:hanging="360"/>
      </w:pPr>
      <w:rPr>
        <w:rFonts w:ascii="Symbol" w:hAnsi="Symbol"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DB839E2"/>
    <w:multiLevelType w:val="hybridMultilevel"/>
    <w:tmpl w:val="438490F8"/>
    <w:lvl w:ilvl="0" w:tplc="8BC695F4">
      <w:start w:val="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18744C8"/>
    <w:multiLevelType w:val="hybridMultilevel"/>
    <w:tmpl w:val="F70C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25C3B00"/>
    <w:multiLevelType w:val="hybridMultilevel"/>
    <w:tmpl w:val="7010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2AE7F5A"/>
    <w:multiLevelType w:val="hybridMultilevel"/>
    <w:tmpl w:val="E69EF0AE"/>
    <w:lvl w:ilvl="0" w:tplc="D5640016">
      <w:start w:val="1"/>
      <w:numFmt w:val="decimal"/>
      <w:lvlText w:val="%1."/>
      <w:lvlJc w:val="left"/>
      <w:pPr>
        <w:ind w:left="720" w:hanging="360"/>
      </w:pPr>
      <w:rPr>
        <w:b w:val="0"/>
      </w:rPr>
    </w:lvl>
    <w:lvl w:ilvl="1" w:tplc="08090001">
      <w:start w:val="1"/>
      <w:numFmt w:val="bullet"/>
      <w:lvlText w:val=""/>
      <w:lvlJc w:val="left"/>
      <w:pPr>
        <w:ind w:left="502"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3F746FC"/>
    <w:multiLevelType w:val="hybridMultilevel"/>
    <w:tmpl w:val="CE228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34334D46"/>
    <w:multiLevelType w:val="hybridMultilevel"/>
    <w:tmpl w:val="82F20E82"/>
    <w:lvl w:ilvl="0" w:tplc="BADADFC2">
      <w:start w:val="1"/>
      <w:numFmt w:val="decimal"/>
      <w:lvlText w:val="%1."/>
      <w:lvlJc w:val="left"/>
      <w:pPr>
        <w:ind w:left="360" w:hanging="360"/>
      </w:pPr>
      <w:rPr>
        <w:b/>
      </w:rPr>
    </w:lvl>
    <w:lvl w:ilvl="1" w:tplc="08090005">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343D3F8F"/>
    <w:multiLevelType w:val="hybridMultilevel"/>
    <w:tmpl w:val="1B7A8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40E145E9"/>
    <w:multiLevelType w:val="hybridMultilevel"/>
    <w:tmpl w:val="717E7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43932FCE"/>
    <w:multiLevelType w:val="hybridMultilevel"/>
    <w:tmpl w:val="6BA4F84A"/>
    <w:lvl w:ilvl="0" w:tplc="BADADFC2">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494401FE"/>
    <w:multiLevelType w:val="hybridMultilevel"/>
    <w:tmpl w:val="1FFC90C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4BDF5EE5"/>
    <w:multiLevelType w:val="hybridMultilevel"/>
    <w:tmpl w:val="87DC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10908B1"/>
    <w:multiLevelType w:val="hybridMultilevel"/>
    <w:tmpl w:val="CCB0F57C"/>
    <w:lvl w:ilvl="0" w:tplc="D1703C68">
      <w:start w:val="2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2752179"/>
    <w:multiLevelType w:val="hybridMultilevel"/>
    <w:tmpl w:val="96887F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3093641"/>
    <w:multiLevelType w:val="hybridMultilevel"/>
    <w:tmpl w:val="592A28C6"/>
    <w:lvl w:ilvl="0" w:tplc="08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63611DE"/>
    <w:multiLevelType w:val="hybridMultilevel"/>
    <w:tmpl w:val="2BC691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58C72600"/>
    <w:multiLevelType w:val="hybridMultilevel"/>
    <w:tmpl w:val="5A9EC8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59DE6963"/>
    <w:multiLevelType w:val="hybridMultilevel"/>
    <w:tmpl w:val="AE86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AF5328D"/>
    <w:multiLevelType w:val="hybridMultilevel"/>
    <w:tmpl w:val="228CB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DAE264A"/>
    <w:multiLevelType w:val="hybridMultilevel"/>
    <w:tmpl w:val="37A05952"/>
    <w:lvl w:ilvl="0" w:tplc="D97C0642">
      <w:start w:val="11"/>
      <w:numFmt w:val="bullet"/>
      <w:lvlText w:val="-"/>
      <w:lvlJc w:val="left"/>
      <w:pPr>
        <w:tabs>
          <w:tab w:val="num" w:pos="720"/>
        </w:tabs>
        <w:ind w:left="720" w:hanging="360"/>
      </w:pPr>
      <w:rPr>
        <w:rFonts w:ascii="Cambria" w:eastAsiaTheme="minorEastAsia" w:hAnsi="Cambria" w:cstheme="minorBidi"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613E4CB3"/>
    <w:multiLevelType w:val="hybridMultilevel"/>
    <w:tmpl w:val="74DCA2E0"/>
    <w:lvl w:ilvl="0" w:tplc="BADADFC2">
      <w:start w:val="1"/>
      <w:numFmt w:val="decimal"/>
      <w:lvlText w:val="%1."/>
      <w:lvlJc w:val="left"/>
      <w:pPr>
        <w:ind w:left="360" w:hanging="360"/>
      </w:pPr>
      <w:rPr>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62397EFA"/>
    <w:multiLevelType w:val="hybridMultilevel"/>
    <w:tmpl w:val="43C41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3353284"/>
    <w:multiLevelType w:val="hybridMultilevel"/>
    <w:tmpl w:val="509E10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6727DF1"/>
    <w:multiLevelType w:val="hybridMultilevel"/>
    <w:tmpl w:val="AA0647D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678B0FC6"/>
    <w:multiLevelType w:val="hybridMultilevel"/>
    <w:tmpl w:val="DC40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99D6C15"/>
    <w:multiLevelType w:val="hybridMultilevel"/>
    <w:tmpl w:val="6C3CD6D6"/>
    <w:lvl w:ilvl="0" w:tplc="BADADFC2">
      <w:start w:val="1"/>
      <w:numFmt w:val="decimal"/>
      <w:lvlText w:val="%1."/>
      <w:lvlJc w:val="left"/>
      <w:pPr>
        <w:ind w:left="360" w:hanging="360"/>
      </w:pPr>
      <w:rPr>
        <w:b/>
      </w:rPr>
    </w:lvl>
    <w:lvl w:ilvl="1" w:tplc="D97C0642">
      <w:start w:val="11"/>
      <w:numFmt w:val="bullet"/>
      <w:lvlText w:val="-"/>
      <w:lvlJc w:val="left"/>
      <w:pPr>
        <w:ind w:left="1080" w:hanging="360"/>
      </w:pPr>
      <w:rPr>
        <w:rFonts w:ascii="Cambria" w:eastAsiaTheme="minorEastAsia" w:hAnsi="Cambria"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nsid w:val="6D7C6A4F"/>
    <w:multiLevelType w:val="hybridMultilevel"/>
    <w:tmpl w:val="4726F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E4D53BB"/>
    <w:multiLevelType w:val="hybridMultilevel"/>
    <w:tmpl w:val="020281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708C05D7"/>
    <w:multiLevelType w:val="hybridMultilevel"/>
    <w:tmpl w:val="62A85FE6"/>
    <w:lvl w:ilvl="0" w:tplc="C304F9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09C6B9E"/>
    <w:multiLevelType w:val="hybridMultilevel"/>
    <w:tmpl w:val="C4384A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nsid w:val="72CE123B"/>
    <w:multiLevelType w:val="hybridMultilevel"/>
    <w:tmpl w:val="73C0F066"/>
    <w:lvl w:ilvl="0" w:tplc="D97E5A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76987E3F"/>
    <w:multiLevelType w:val="hybridMultilevel"/>
    <w:tmpl w:val="04B280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7A6F56AC"/>
    <w:multiLevelType w:val="hybridMultilevel"/>
    <w:tmpl w:val="A944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C0067FD"/>
    <w:multiLevelType w:val="hybridMultilevel"/>
    <w:tmpl w:val="390A8A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58"/>
  </w:num>
  <w:num w:numId="3">
    <w:abstractNumId w:val="52"/>
  </w:num>
  <w:num w:numId="4">
    <w:abstractNumId w:val="23"/>
  </w:num>
  <w:num w:numId="5">
    <w:abstractNumId w:val="13"/>
  </w:num>
  <w:num w:numId="6">
    <w:abstractNumId w:val="45"/>
  </w:num>
  <w:num w:numId="7">
    <w:abstractNumId w:val="19"/>
  </w:num>
  <w:num w:numId="8">
    <w:abstractNumId w:val="24"/>
  </w:num>
  <w:num w:numId="9">
    <w:abstractNumId w:val="3"/>
  </w:num>
  <w:num w:numId="10">
    <w:abstractNumId w:val="59"/>
  </w:num>
  <w:num w:numId="11">
    <w:abstractNumId w:val="22"/>
  </w:num>
  <w:num w:numId="12">
    <w:abstractNumId w:val="15"/>
  </w:num>
  <w:num w:numId="13">
    <w:abstractNumId w:val="11"/>
  </w:num>
  <w:num w:numId="14">
    <w:abstractNumId w:val="60"/>
  </w:num>
  <w:num w:numId="15">
    <w:abstractNumId w:val="16"/>
  </w:num>
  <w:num w:numId="16">
    <w:abstractNumId w:val="40"/>
  </w:num>
  <w:num w:numId="17">
    <w:abstractNumId w:val="7"/>
  </w:num>
  <w:num w:numId="18">
    <w:abstractNumId w:val="18"/>
  </w:num>
  <w:num w:numId="19">
    <w:abstractNumId w:val="31"/>
  </w:num>
  <w:num w:numId="20">
    <w:abstractNumId w:val="44"/>
  </w:num>
  <w:num w:numId="21">
    <w:abstractNumId w:val="55"/>
  </w:num>
  <w:num w:numId="22">
    <w:abstractNumId w:val="0"/>
  </w:num>
  <w:num w:numId="23">
    <w:abstractNumId w:val="49"/>
  </w:num>
  <w:num w:numId="24">
    <w:abstractNumId w:val="56"/>
  </w:num>
  <w:num w:numId="25">
    <w:abstractNumId w:val="47"/>
  </w:num>
  <w:num w:numId="26">
    <w:abstractNumId w:val="14"/>
  </w:num>
  <w:num w:numId="27">
    <w:abstractNumId w:val="61"/>
  </w:num>
  <w:num w:numId="28">
    <w:abstractNumId w:val="51"/>
  </w:num>
  <w:num w:numId="29">
    <w:abstractNumId w:val="38"/>
  </w:num>
  <w:num w:numId="30">
    <w:abstractNumId w:val="50"/>
  </w:num>
  <w:num w:numId="31">
    <w:abstractNumId w:val="41"/>
  </w:num>
  <w:num w:numId="32">
    <w:abstractNumId w:val="2"/>
  </w:num>
  <w:num w:numId="33">
    <w:abstractNumId w:val="21"/>
  </w:num>
  <w:num w:numId="34">
    <w:abstractNumId w:val="10"/>
  </w:num>
  <w:num w:numId="35">
    <w:abstractNumId w:val="37"/>
  </w:num>
  <w:num w:numId="36">
    <w:abstractNumId w:val="4"/>
  </w:num>
  <w:num w:numId="37">
    <w:abstractNumId w:val="6"/>
  </w:num>
  <w:num w:numId="38">
    <w:abstractNumId w:val="34"/>
  </w:num>
  <w:num w:numId="39">
    <w:abstractNumId w:val="53"/>
  </w:num>
  <w:num w:numId="40">
    <w:abstractNumId w:val="12"/>
  </w:num>
  <w:num w:numId="41">
    <w:abstractNumId w:val="27"/>
  </w:num>
  <w:num w:numId="42">
    <w:abstractNumId w:val="42"/>
  </w:num>
  <w:num w:numId="43">
    <w:abstractNumId w:val="57"/>
  </w:num>
  <w:num w:numId="44">
    <w:abstractNumId w:val="30"/>
  </w:num>
  <w:num w:numId="45">
    <w:abstractNumId w:val="8"/>
  </w:num>
  <w:num w:numId="46">
    <w:abstractNumId w:val="25"/>
  </w:num>
  <w:num w:numId="47">
    <w:abstractNumId w:val="43"/>
  </w:num>
  <w:num w:numId="48">
    <w:abstractNumId w:val="32"/>
  </w:num>
  <w:num w:numId="49">
    <w:abstractNumId w:val="26"/>
  </w:num>
  <w:num w:numId="50">
    <w:abstractNumId w:val="35"/>
  </w:num>
  <w:num w:numId="51">
    <w:abstractNumId w:val="36"/>
  </w:num>
  <w:num w:numId="52">
    <w:abstractNumId w:val="46"/>
  </w:num>
  <w:num w:numId="53">
    <w:abstractNumId w:val="9"/>
  </w:num>
  <w:num w:numId="54">
    <w:abstractNumId w:val="1"/>
  </w:num>
  <w:num w:numId="55">
    <w:abstractNumId w:val="29"/>
  </w:num>
  <w:num w:numId="56">
    <w:abstractNumId w:val="17"/>
  </w:num>
  <w:num w:numId="57">
    <w:abstractNumId w:val="54"/>
  </w:num>
  <w:num w:numId="58">
    <w:abstractNumId w:val="48"/>
  </w:num>
  <w:num w:numId="59">
    <w:abstractNumId w:val="28"/>
  </w:num>
  <w:num w:numId="60">
    <w:abstractNumId w:val="39"/>
  </w:num>
  <w:num w:numId="61">
    <w:abstractNumId w:val="5"/>
  </w:num>
  <w:num w:numId="62">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A5B"/>
    <w:rsid w:val="0000655B"/>
    <w:rsid w:val="00024EF6"/>
    <w:rsid w:val="00034C04"/>
    <w:rsid w:val="000404E1"/>
    <w:rsid w:val="000479B4"/>
    <w:rsid w:val="00062132"/>
    <w:rsid w:val="00085526"/>
    <w:rsid w:val="000B3569"/>
    <w:rsid w:val="000B4310"/>
    <w:rsid w:val="000C4198"/>
    <w:rsid w:val="000D46E0"/>
    <w:rsid w:val="001101A0"/>
    <w:rsid w:val="001409C7"/>
    <w:rsid w:val="00155973"/>
    <w:rsid w:val="0017097D"/>
    <w:rsid w:val="00175A69"/>
    <w:rsid w:val="00182893"/>
    <w:rsid w:val="0018796A"/>
    <w:rsid w:val="00212523"/>
    <w:rsid w:val="002A060B"/>
    <w:rsid w:val="002A77A8"/>
    <w:rsid w:val="00302675"/>
    <w:rsid w:val="003157A3"/>
    <w:rsid w:val="00350BBF"/>
    <w:rsid w:val="0035535C"/>
    <w:rsid w:val="00367666"/>
    <w:rsid w:val="0038444D"/>
    <w:rsid w:val="00393B22"/>
    <w:rsid w:val="00394201"/>
    <w:rsid w:val="003A0162"/>
    <w:rsid w:val="003E44B3"/>
    <w:rsid w:val="004000D7"/>
    <w:rsid w:val="00414A15"/>
    <w:rsid w:val="00425764"/>
    <w:rsid w:val="00425AB4"/>
    <w:rsid w:val="00450E37"/>
    <w:rsid w:val="0046065C"/>
    <w:rsid w:val="00463DE3"/>
    <w:rsid w:val="00480A07"/>
    <w:rsid w:val="00487167"/>
    <w:rsid w:val="0049024D"/>
    <w:rsid w:val="00493322"/>
    <w:rsid w:val="00495748"/>
    <w:rsid w:val="004A605D"/>
    <w:rsid w:val="004B1F9E"/>
    <w:rsid w:val="004B3CEE"/>
    <w:rsid w:val="004C08E2"/>
    <w:rsid w:val="004C0A17"/>
    <w:rsid w:val="004E2226"/>
    <w:rsid w:val="004F0253"/>
    <w:rsid w:val="005011C2"/>
    <w:rsid w:val="00504E43"/>
    <w:rsid w:val="00507DC0"/>
    <w:rsid w:val="005125CF"/>
    <w:rsid w:val="00522108"/>
    <w:rsid w:val="00523197"/>
    <w:rsid w:val="00526919"/>
    <w:rsid w:val="0053301E"/>
    <w:rsid w:val="0053493A"/>
    <w:rsid w:val="00546941"/>
    <w:rsid w:val="00580F0E"/>
    <w:rsid w:val="00587373"/>
    <w:rsid w:val="00587EBF"/>
    <w:rsid w:val="005B7AE2"/>
    <w:rsid w:val="005C1896"/>
    <w:rsid w:val="005E35CE"/>
    <w:rsid w:val="005F2858"/>
    <w:rsid w:val="0060366C"/>
    <w:rsid w:val="006053E8"/>
    <w:rsid w:val="00616018"/>
    <w:rsid w:val="0061797D"/>
    <w:rsid w:val="00632A68"/>
    <w:rsid w:val="0064029F"/>
    <w:rsid w:val="0065733A"/>
    <w:rsid w:val="00686280"/>
    <w:rsid w:val="006918FB"/>
    <w:rsid w:val="00692154"/>
    <w:rsid w:val="00697B93"/>
    <w:rsid w:val="006F13B2"/>
    <w:rsid w:val="006F6EB8"/>
    <w:rsid w:val="0071003E"/>
    <w:rsid w:val="007303BA"/>
    <w:rsid w:val="00746DA1"/>
    <w:rsid w:val="00753C5A"/>
    <w:rsid w:val="007646E1"/>
    <w:rsid w:val="00765F88"/>
    <w:rsid w:val="00775CE1"/>
    <w:rsid w:val="007908F4"/>
    <w:rsid w:val="007E1CB3"/>
    <w:rsid w:val="007E383D"/>
    <w:rsid w:val="00840EB8"/>
    <w:rsid w:val="008453C8"/>
    <w:rsid w:val="00854F43"/>
    <w:rsid w:val="008632CC"/>
    <w:rsid w:val="00874067"/>
    <w:rsid w:val="0088159A"/>
    <w:rsid w:val="00885024"/>
    <w:rsid w:val="008A6862"/>
    <w:rsid w:val="008B3FA8"/>
    <w:rsid w:val="008B7783"/>
    <w:rsid w:val="008D31D1"/>
    <w:rsid w:val="008E08F8"/>
    <w:rsid w:val="008F6FDA"/>
    <w:rsid w:val="009003B6"/>
    <w:rsid w:val="0090533C"/>
    <w:rsid w:val="00921BBE"/>
    <w:rsid w:val="0093365E"/>
    <w:rsid w:val="0095397B"/>
    <w:rsid w:val="00965A5B"/>
    <w:rsid w:val="00972204"/>
    <w:rsid w:val="00977A9D"/>
    <w:rsid w:val="0099753F"/>
    <w:rsid w:val="009B4B85"/>
    <w:rsid w:val="009D024B"/>
    <w:rsid w:val="009D0AEB"/>
    <w:rsid w:val="009D42CC"/>
    <w:rsid w:val="009D6CB5"/>
    <w:rsid w:val="009E1CB3"/>
    <w:rsid w:val="009F7457"/>
    <w:rsid w:val="00A01A6A"/>
    <w:rsid w:val="00A01F98"/>
    <w:rsid w:val="00A02588"/>
    <w:rsid w:val="00A046F1"/>
    <w:rsid w:val="00A05779"/>
    <w:rsid w:val="00A119BE"/>
    <w:rsid w:val="00A11B59"/>
    <w:rsid w:val="00A24750"/>
    <w:rsid w:val="00A43C0F"/>
    <w:rsid w:val="00A63A5C"/>
    <w:rsid w:val="00A63CB1"/>
    <w:rsid w:val="00A751C8"/>
    <w:rsid w:val="00A834F1"/>
    <w:rsid w:val="00AA5FFD"/>
    <w:rsid w:val="00AD5933"/>
    <w:rsid w:val="00AE37A8"/>
    <w:rsid w:val="00B01C27"/>
    <w:rsid w:val="00B02A6D"/>
    <w:rsid w:val="00B35101"/>
    <w:rsid w:val="00B365A7"/>
    <w:rsid w:val="00B61A12"/>
    <w:rsid w:val="00B9555A"/>
    <w:rsid w:val="00BA2130"/>
    <w:rsid w:val="00BB2FD0"/>
    <w:rsid w:val="00BE041B"/>
    <w:rsid w:val="00C0170C"/>
    <w:rsid w:val="00C30564"/>
    <w:rsid w:val="00C62676"/>
    <w:rsid w:val="00CA5EAF"/>
    <w:rsid w:val="00CA60DE"/>
    <w:rsid w:val="00CD0A4A"/>
    <w:rsid w:val="00CE7A7F"/>
    <w:rsid w:val="00D03ABD"/>
    <w:rsid w:val="00D309F8"/>
    <w:rsid w:val="00D30BEE"/>
    <w:rsid w:val="00D358DC"/>
    <w:rsid w:val="00D442D9"/>
    <w:rsid w:val="00D51B15"/>
    <w:rsid w:val="00D85162"/>
    <w:rsid w:val="00DB3377"/>
    <w:rsid w:val="00DE46B3"/>
    <w:rsid w:val="00DF6DB2"/>
    <w:rsid w:val="00E04F64"/>
    <w:rsid w:val="00E2298C"/>
    <w:rsid w:val="00E308E8"/>
    <w:rsid w:val="00E36904"/>
    <w:rsid w:val="00E647F2"/>
    <w:rsid w:val="00E66AAC"/>
    <w:rsid w:val="00E67473"/>
    <w:rsid w:val="00E6754E"/>
    <w:rsid w:val="00E9485B"/>
    <w:rsid w:val="00EA1C24"/>
    <w:rsid w:val="00EA6C46"/>
    <w:rsid w:val="00EB42C2"/>
    <w:rsid w:val="00EC543D"/>
    <w:rsid w:val="00ED1489"/>
    <w:rsid w:val="00EE38F7"/>
    <w:rsid w:val="00EF185E"/>
    <w:rsid w:val="00EF3216"/>
    <w:rsid w:val="00EF33D3"/>
    <w:rsid w:val="00F3687F"/>
    <w:rsid w:val="00F54C08"/>
    <w:rsid w:val="00F7761F"/>
    <w:rsid w:val="00F95F3C"/>
    <w:rsid w:val="00FC1524"/>
    <w:rsid w:val="00FC1DFF"/>
    <w:rsid w:val="00FC485B"/>
    <w:rsid w:val="00FD3A85"/>
    <w:rsid w:val="00FD3E19"/>
    <w:rsid w:val="00FE334B"/>
    <w:rsid w:val="00FE34F4"/>
    <w:rsid w:val="00FE4B3F"/>
    <w:rsid w:val="00FE69D7"/>
    <w:rsid w:val="00FF43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3">
    <w:name w:val="heading 3"/>
    <w:basedOn w:val="Normal"/>
    <w:link w:val="Heading3Char"/>
    <w:uiPriority w:val="9"/>
    <w:qFormat/>
    <w:rsid w:val="008F6FDA"/>
    <w:pPr>
      <w:spacing w:before="100" w:beforeAutospacing="1" w:after="100" w:afterAutospacing="1"/>
      <w:outlineLvl w:val="2"/>
    </w:pPr>
    <w:rPr>
      <w:rFonts w:ascii="Times New Roman" w:eastAsia="Times New Roman" w:hAnsi="Times New Roman" w:cs="Times New Roman"/>
      <w:b/>
      <w:bCs/>
      <w:color w:val="3F3F3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35C"/>
    <w:rPr>
      <w:color w:val="0000FF" w:themeColor="hyperlink"/>
      <w:u w:val="single"/>
    </w:rPr>
  </w:style>
  <w:style w:type="paragraph" w:styleId="BalloonText">
    <w:name w:val="Balloon Text"/>
    <w:basedOn w:val="Normal"/>
    <w:link w:val="BalloonTextChar"/>
    <w:uiPriority w:val="99"/>
    <w:semiHidden/>
    <w:unhideWhenUsed/>
    <w:rsid w:val="0061797D"/>
    <w:rPr>
      <w:rFonts w:ascii="Tahoma" w:hAnsi="Tahoma" w:cs="Tahoma"/>
      <w:sz w:val="16"/>
      <w:szCs w:val="16"/>
    </w:rPr>
  </w:style>
  <w:style w:type="character" w:customStyle="1" w:styleId="BalloonTextChar">
    <w:name w:val="Balloon Text Char"/>
    <w:basedOn w:val="DefaultParagraphFont"/>
    <w:link w:val="BalloonText"/>
    <w:uiPriority w:val="99"/>
    <w:semiHidden/>
    <w:rsid w:val="0061797D"/>
    <w:rPr>
      <w:rFonts w:ascii="Tahoma" w:hAnsi="Tahoma" w:cs="Tahoma"/>
      <w:sz w:val="16"/>
      <w:szCs w:val="16"/>
    </w:rPr>
  </w:style>
  <w:style w:type="table" w:styleId="TableGrid">
    <w:name w:val="Table Grid"/>
    <w:basedOn w:val="TableNormal"/>
    <w:uiPriority w:val="59"/>
    <w:rsid w:val="001559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5973"/>
    <w:pPr>
      <w:ind w:left="720"/>
      <w:contextualSpacing/>
    </w:pPr>
  </w:style>
  <w:style w:type="character" w:styleId="Strong">
    <w:name w:val="Strong"/>
    <w:basedOn w:val="DefaultParagraphFont"/>
    <w:uiPriority w:val="99"/>
    <w:qFormat/>
    <w:rsid w:val="004B3CEE"/>
    <w:rPr>
      <w:b/>
      <w:bCs/>
    </w:rPr>
  </w:style>
  <w:style w:type="paragraph" w:customStyle="1" w:styleId="Default">
    <w:name w:val="Default"/>
    <w:rsid w:val="00EF185E"/>
    <w:pPr>
      <w:autoSpaceDE w:val="0"/>
      <w:autoSpaceDN w:val="0"/>
      <w:adjustRightInd w:val="0"/>
    </w:pPr>
    <w:rPr>
      <w:color w:val="000000"/>
    </w:rPr>
  </w:style>
  <w:style w:type="paragraph" w:styleId="PlainText">
    <w:name w:val="Plain Text"/>
    <w:basedOn w:val="Normal"/>
    <w:link w:val="PlainTextChar"/>
    <w:uiPriority w:val="99"/>
    <w:unhideWhenUsed/>
    <w:rsid w:val="00EF33D3"/>
    <w:rPr>
      <w:rFonts w:cstheme="minorBidi"/>
      <w:szCs w:val="21"/>
    </w:rPr>
  </w:style>
  <w:style w:type="character" w:customStyle="1" w:styleId="PlainTextChar">
    <w:name w:val="Plain Text Char"/>
    <w:basedOn w:val="DefaultParagraphFont"/>
    <w:link w:val="PlainText"/>
    <w:uiPriority w:val="99"/>
    <w:rsid w:val="00EF33D3"/>
    <w:rPr>
      <w:rFonts w:cstheme="minorBidi"/>
      <w:szCs w:val="21"/>
    </w:rPr>
  </w:style>
  <w:style w:type="character" w:styleId="CommentReference">
    <w:name w:val="annotation reference"/>
    <w:basedOn w:val="DefaultParagraphFont"/>
    <w:uiPriority w:val="99"/>
    <w:semiHidden/>
    <w:unhideWhenUsed/>
    <w:rsid w:val="00977A9D"/>
    <w:rPr>
      <w:sz w:val="16"/>
      <w:szCs w:val="16"/>
    </w:rPr>
  </w:style>
  <w:style w:type="paragraph" w:styleId="CommentText">
    <w:name w:val="annotation text"/>
    <w:basedOn w:val="Normal"/>
    <w:link w:val="CommentTextChar"/>
    <w:uiPriority w:val="99"/>
    <w:semiHidden/>
    <w:unhideWhenUsed/>
    <w:rsid w:val="00977A9D"/>
    <w:rPr>
      <w:sz w:val="20"/>
      <w:szCs w:val="20"/>
    </w:rPr>
  </w:style>
  <w:style w:type="character" w:customStyle="1" w:styleId="CommentTextChar">
    <w:name w:val="Comment Text Char"/>
    <w:basedOn w:val="DefaultParagraphFont"/>
    <w:link w:val="CommentText"/>
    <w:uiPriority w:val="99"/>
    <w:semiHidden/>
    <w:rsid w:val="00977A9D"/>
    <w:rPr>
      <w:sz w:val="20"/>
      <w:szCs w:val="20"/>
    </w:rPr>
  </w:style>
  <w:style w:type="paragraph" w:styleId="CommentSubject">
    <w:name w:val="annotation subject"/>
    <w:basedOn w:val="CommentText"/>
    <w:next w:val="CommentText"/>
    <w:link w:val="CommentSubjectChar"/>
    <w:uiPriority w:val="99"/>
    <w:semiHidden/>
    <w:unhideWhenUsed/>
    <w:rsid w:val="00977A9D"/>
    <w:rPr>
      <w:b/>
      <w:bCs/>
    </w:rPr>
  </w:style>
  <w:style w:type="character" w:customStyle="1" w:styleId="CommentSubjectChar">
    <w:name w:val="Comment Subject Char"/>
    <w:basedOn w:val="CommentTextChar"/>
    <w:link w:val="CommentSubject"/>
    <w:uiPriority w:val="99"/>
    <w:semiHidden/>
    <w:rsid w:val="00977A9D"/>
    <w:rPr>
      <w:b/>
      <w:bCs/>
      <w:sz w:val="20"/>
      <w:szCs w:val="20"/>
    </w:rPr>
  </w:style>
  <w:style w:type="paragraph" w:styleId="Header">
    <w:name w:val="header"/>
    <w:basedOn w:val="Normal"/>
    <w:link w:val="HeaderChar"/>
    <w:uiPriority w:val="99"/>
    <w:unhideWhenUsed/>
    <w:rsid w:val="007303BA"/>
    <w:pPr>
      <w:tabs>
        <w:tab w:val="center" w:pos="4513"/>
        <w:tab w:val="right" w:pos="9026"/>
      </w:tabs>
    </w:pPr>
  </w:style>
  <w:style w:type="character" w:customStyle="1" w:styleId="HeaderChar">
    <w:name w:val="Header Char"/>
    <w:basedOn w:val="DefaultParagraphFont"/>
    <w:link w:val="Header"/>
    <w:uiPriority w:val="99"/>
    <w:rsid w:val="007303BA"/>
  </w:style>
  <w:style w:type="paragraph" w:styleId="Footer">
    <w:name w:val="footer"/>
    <w:basedOn w:val="Normal"/>
    <w:link w:val="FooterChar"/>
    <w:uiPriority w:val="99"/>
    <w:unhideWhenUsed/>
    <w:rsid w:val="007303BA"/>
    <w:pPr>
      <w:tabs>
        <w:tab w:val="center" w:pos="4513"/>
        <w:tab w:val="right" w:pos="9026"/>
      </w:tabs>
    </w:pPr>
  </w:style>
  <w:style w:type="character" w:customStyle="1" w:styleId="FooterChar">
    <w:name w:val="Footer Char"/>
    <w:basedOn w:val="DefaultParagraphFont"/>
    <w:link w:val="Footer"/>
    <w:uiPriority w:val="99"/>
    <w:rsid w:val="007303BA"/>
  </w:style>
  <w:style w:type="character" w:styleId="FollowedHyperlink">
    <w:name w:val="FollowedHyperlink"/>
    <w:basedOn w:val="DefaultParagraphFont"/>
    <w:uiPriority w:val="99"/>
    <w:semiHidden/>
    <w:unhideWhenUsed/>
    <w:rsid w:val="00E04F64"/>
    <w:rPr>
      <w:color w:val="800080" w:themeColor="followedHyperlink"/>
      <w:u w:val="single"/>
    </w:rPr>
  </w:style>
  <w:style w:type="paragraph" w:styleId="NormalWeb">
    <w:name w:val="Normal (Web)"/>
    <w:basedOn w:val="Normal"/>
    <w:uiPriority w:val="99"/>
    <w:unhideWhenUsed/>
    <w:rsid w:val="0071003E"/>
    <w:pPr>
      <w:spacing w:before="100" w:beforeAutospacing="1" w:after="100" w:afterAutospacing="1" w:line="360" w:lineRule="atLeast"/>
    </w:pPr>
    <w:rPr>
      <w:rFonts w:ascii="Times New Roman" w:eastAsia="Times New Roman" w:hAnsi="Times New Roman" w:cs="Times New Roman"/>
      <w:sz w:val="19"/>
      <w:szCs w:val="19"/>
      <w:lang w:eastAsia="en-GB"/>
    </w:rPr>
  </w:style>
  <w:style w:type="paragraph" w:styleId="NoSpacing">
    <w:name w:val="No Spacing"/>
    <w:uiPriority w:val="1"/>
    <w:qFormat/>
    <w:rsid w:val="0071003E"/>
  </w:style>
  <w:style w:type="character" w:customStyle="1" w:styleId="Heading3Char">
    <w:name w:val="Heading 3 Char"/>
    <w:basedOn w:val="DefaultParagraphFont"/>
    <w:link w:val="Heading3"/>
    <w:uiPriority w:val="9"/>
    <w:rsid w:val="008F6FDA"/>
    <w:rPr>
      <w:rFonts w:ascii="Times New Roman" w:eastAsia="Times New Roman" w:hAnsi="Times New Roman" w:cs="Times New Roman"/>
      <w:b/>
      <w:bCs/>
      <w:color w:val="3F3F3F"/>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3">
    <w:name w:val="heading 3"/>
    <w:basedOn w:val="Normal"/>
    <w:link w:val="Heading3Char"/>
    <w:uiPriority w:val="9"/>
    <w:qFormat/>
    <w:rsid w:val="008F6FDA"/>
    <w:pPr>
      <w:spacing w:before="100" w:beforeAutospacing="1" w:after="100" w:afterAutospacing="1"/>
      <w:outlineLvl w:val="2"/>
    </w:pPr>
    <w:rPr>
      <w:rFonts w:ascii="Times New Roman" w:eastAsia="Times New Roman" w:hAnsi="Times New Roman" w:cs="Times New Roman"/>
      <w:b/>
      <w:bCs/>
      <w:color w:val="3F3F3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35C"/>
    <w:rPr>
      <w:color w:val="0000FF" w:themeColor="hyperlink"/>
      <w:u w:val="single"/>
    </w:rPr>
  </w:style>
  <w:style w:type="paragraph" w:styleId="BalloonText">
    <w:name w:val="Balloon Text"/>
    <w:basedOn w:val="Normal"/>
    <w:link w:val="BalloonTextChar"/>
    <w:uiPriority w:val="99"/>
    <w:semiHidden/>
    <w:unhideWhenUsed/>
    <w:rsid w:val="0061797D"/>
    <w:rPr>
      <w:rFonts w:ascii="Tahoma" w:hAnsi="Tahoma" w:cs="Tahoma"/>
      <w:sz w:val="16"/>
      <w:szCs w:val="16"/>
    </w:rPr>
  </w:style>
  <w:style w:type="character" w:customStyle="1" w:styleId="BalloonTextChar">
    <w:name w:val="Balloon Text Char"/>
    <w:basedOn w:val="DefaultParagraphFont"/>
    <w:link w:val="BalloonText"/>
    <w:uiPriority w:val="99"/>
    <w:semiHidden/>
    <w:rsid w:val="0061797D"/>
    <w:rPr>
      <w:rFonts w:ascii="Tahoma" w:hAnsi="Tahoma" w:cs="Tahoma"/>
      <w:sz w:val="16"/>
      <w:szCs w:val="16"/>
    </w:rPr>
  </w:style>
  <w:style w:type="table" w:styleId="TableGrid">
    <w:name w:val="Table Grid"/>
    <w:basedOn w:val="TableNormal"/>
    <w:uiPriority w:val="59"/>
    <w:rsid w:val="001559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5973"/>
    <w:pPr>
      <w:ind w:left="720"/>
      <w:contextualSpacing/>
    </w:pPr>
  </w:style>
  <w:style w:type="character" w:styleId="Strong">
    <w:name w:val="Strong"/>
    <w:basedOn w:val="DefaultParagraphFont"/>
    <w:uiPriority w:val="99"/>
    <w:qFormat/>
    <w:rsid w:val="004B3CEE"/>
    <w:rPr>
      <w:b/>
      <w:bCs/>
    </w:rPr>
  </w:style>
  <w:style w:type="paragraph" w:customStyle="1" w:styleId="Default">
    <w:name w:val="Default"/>
    <w:rsid w:val="00EF185E"/>
    <w:pPr>
      <w:autoSpaceDE w:val="0"/>
      <w:autoSpaceDN w:val="0"/>
      <w:adjustRightInd w:val="0"/>
    </w:pPr>
    <w:rPr>
      <w:color w:val="000000"/>
    </w:rPr>
  </w:style>
  <w:style w:type="paragraph" w:styleId="PlainText">
    <w:name w:val="Plain Text"/>
    <w:basedOn w:val="Normal"/>
    <w:link w:val="PlainTextChar"/>
    <w:uiPriority w:val="99"/>
    <w:unhideWhenUsed/>
    <w:rsid w:val="00EF33D3"/>
    <w:rPr>
      <w:rFonts w:cstheme="minorBidi"/>
      <w:szCs w:val="21"/>
    </w:rPr>
  </w:style>
  <w:style w:type="character" w:customStyle="1" w:styleId="PlainTextChar">
    <w:name w:val="Plain Text Char"/>
    <w:basedOn w:val="DefaultParagraphFont"/>
    <w:link w:val="PlainText"/>
    <w:uiPriority w:val="99"/>
    <w:rsid w:val="00EF33D3"/>
    <w:rPr>
      <w:rFonts w:cstheme="minorBidi"/>
      <w:szCs w:val="21"/>
    </w:rPr>
  </w:style>
  <w:style w:type="character" w:styleId="CommentReference">
    <w:name w:val="annotation reference"/>
    <w:basedOn w:val="DefaultParagraphFont"/>
    <w:uiPriority w:val="99"/>
    <w:semiHidden/>
    <w:unhideWhenUsed/>
    <w:rsid w:val="00977A9D"/>
    <w:rPr>
      <w:sz w:val="16"/>
      <w:szCs w:val="16"/>
    </w:rPr>
  </w:style>
  <w:style w:type="paragraph" w:styleId="CommentText">
    <w:name w:val="annotation text"/>
    <w:basedOn w:val="Normal"/>
    <w:link w:val="CommentTextChar"/>
    <w:uiPriority w:val="99"/>
    <w:semiHidden/>
    <w:unhideWhenUsed/>
    <w:rsid w:val="00977A9D"/>
    <w:rPr>
      <w:sz w:val="20"/>
      <w:szCs w:val="20"/>
    </w:rPr>
  </w:style>
  <w:style w:type="character" w:customStyle="1" w:styleId="CommentTextChar">
    <w:name w:val="Comment Text Char"/>
    <w:basedOn w:val="DefaultParagraphFont"/>
    <w:link w:val="CommentText"/>
    <w:uiPriority w:val="99"/>
    <w:semiHidden/>
    <w:rsid w:val="00977A9D"/>
    <w:rPr>
      <w:sz w:val="20"/>
      <w:szCs w:val="20"/>
    </w:rPr>
  </w:style>
  <w:style w:type="paragraph" w:styleId="CommentSubject">
    <w:name w:val="annotation subject"/>
    <w:basedOn w:val="CommentText"/>
    <w:next w:val="CommentText"/>
    <w:link w:val="CommentSubjectChar"/>
    <w:uiPriority w:val="99"/>
    <w:semiHidden/>
    <w:unhideWhenUsed/>
    <w:rsid w:val="00977A9D"/>
    <w:rPr>
      <w:b/>
      <w:bCs/>
    </w:rPr>
  </w:style>
  <w:style w:type="character" w:customStyle="1" w:styleId="CommentSubjectChar">
    <w:name w:val="Comment Subject Char"/>
    <w:basedOn w:val="CommentTextChar"/>
    <w:link w:val="CommentSubject"/>
    <w:uiPriority w:val="99"/>
    <w:semiHidden/>
    <w:rsid w:val="00977A9D"/>
    <w:rPr>
      <w:b/>
      <w:bCs/>
      <w:sz w:val="20"/>
      <w:szCs w:val="20"/>
    </w:rPr>
  </w:style>
  <w:style w:type="paragraph" w:styleId="Header">
    <w:name w:val="header"/>
    <w:basedOn w:val="Normal"/>
    <w:link w:val="HeaderChar"/>
    <w:uiPriority w:val="99"/>
    <w:unhideWhenUsed/>
    <w:rsid w:val="007303BA"/>
    <w:pPr>
      <w:tabs>
        <w:tab w:val="center" w:pos="4513"/>
        <w:tab w:val="right" w:pos="9026"/>
      </w:tabs>
    </w:pPr>
  </w:style>
  <w:style w:type="character" w:customStyle="1" w:styleId="HeaderChar">
    <w:name w:val="Header Char"/>
    <w:basedOn w:val="DefaultParagraphFont"/>
    <w:link w:val="Header"/>
    <w:uiPriority w:val="99"/>
    <w:rsid w:val="007303BA"/>
  </w:style>
  <w:style w:type="paragraph" w:styleId="Footer">
    <w:name w:val="footer"/>
    <w:basedOn w:val="Normal"/>
    <w:link w:val="FooterChar"/>
    <w:uiPriority w:val="99"/>
    <w:unhideWhenUsed/>
    <w:rsid w:val="007303BA"/>
    <w:pPr>
      <w:tabs>
        <w:tab w:val="center" w:pos="4513"/>
        <w:tab w:val="right" w:pos="9026"/>
      </w:tabs>
    </w:pPr>
  </w:style>
  <w:style w:type="character" w:customStyle="1" w:styleId="FooterChar">
    <w:name w:val="Footer Char"/>
    <w:basedOn w:val="DefaultParagraphFont"/>
    <w:link w:val="Footer"/>
    <w:uiPriority w:val="99"/>
    <w:rsid w:val="007303BA"/>
  </w:style>
  <w:style w:type="character" w:styleId="FollowedHyperlink">
    <w:name w:val="FollowedHyperlink"/>
    <w:basedOn w:val="DefaultParagraphFont"/>
    <w:uiPriority w:val="99"/>
    <w:semiHidden/>
    <w:unhideWhenUsed/>
    <w:rsid w:val="00E04F64"/>
    <w:rPr>
      <w:color w:val="800080" w:themeColor="followedHyperlink"/>
      <w:u w:val="single"/>
    </w:rPr>
  </w:style>
  <w:style w:type="paragraph" w:styleId="NormalWeb">
    <w:name w:val="Normal (Web)"/>
    <w:basedOn w:val="Normal"/>
    <w:uiPriority w:val="99"/>
    <w:unhideWhenUsed/>
    <w:rsid w:val="0071003E"/>
    <w:pPr>
      <w:spacing w:before="100" w:beforeAutospacing="1" w:after="100" w:afterAutospacing="1" w:line="360" w:lineRule="atLeast"/>
    </w:pPr>
    <w:rPr>
      <w:rFonts w:ascii="Times New Roman" w:eastAsia="Times New Roman" w:hAnsi="Times New Roman" w:cs="Times New Roman"/>
      <w:sz w:val="19"/>
      <w:szCs w:val="19"/>
      <w:lang w:eastAsia="en-GB"/>
    </w:rPr>
  </w:style>
  <w:style w:type="paragraph" w:styleId="NoSpacing">
    <w:name w:val="No Spacing"/>
    <w:uiPriority w:val="1"/>
    <w:qFormat/>
    <w:rsid w:val="0071003E"/>
  </w:style>
  <w:style w:type="character" w:customStyle="1" w:styleId="Heading3Char">
    <w:name w:val="Heading 3 Char"/>
    <w:basedOn w:val="DefaultParagraphFont"/>
    <w:link w:val="Heading3"/>
    <w:uiPriority w:val="9"/>
    <w:rsid w:val="008F6FDA"/>
    <w:rPr>
      <w:rFonts w:ascii="Times New Roman" w:eastAsia="Times New Roman" w:hAnsi="Times New Roman" w:cs="Times New Roman"/>
      <w:b/>
      <w:bCs/>
      <w:color w:val="3F3F3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98113">
      <w:bodyDiv w:val="1"/>
      <w:marLeft w:val="0"/>
      <w:marRight w:val="0"/>
      <w:marTop w:val="0"/>
      <w:marBottom w:val="0"/>
      <w:divBdr>
        <w:top w:val="none" w:sz="0" w:space="0" w:color="auto"/>
        <w:left w:val="none" w:sz="0" w:space="0" w:color="auto"/>
        <w:bottom w:val="none" w:sz="0" w:space="0" w:color="auto"/>
        <w:right w:val="none" w:sz="0" w:space="0" w:color="auto"/>
      </w:divBdr>
      <w:divsChild>
        <w:div w:id="1632901069">
          <w:marLeft w:val="0"/>
          <w:marRight w:val="0"/>
          <w:marTop w:val="0"/>
          <w:marBottom w:val="0"/>
          <w:divBdr>
            <w:top w:val="single" w:sz="36" w:space="0" w:color="524388"/>
            <w:left w:val="single" w:sz="6" w:space="0" w:color="CCCCCC"/>
            <w:bottom w:val="none" w:sz="0" w:space="0" w:color="auto"/>
            <w:right w:val="single" w:sz="6" w:space="0" w:color="CCCCCC"/>
          </w:divBdr>
          <w:divsChild>
            <w:div w:id="2137790658">
              <w:marLeft w:val="0"/>
              <w:marRight w:val="0"/>
              <w:marTop w:val="0"/>
              <w:marBottom w:val="0"/>
              <w:divBdr>
                <w:top w:val="none" w:sz="0" w:space="0" w:color="auto"/>
                <w:left w:val="none" w:sz="0" w:space="0" w:color="auto"/>
                <w:bottom w:val="none" w:sz="0" w:space="0" w:color="auto"/>
                <w:right w:val="none" w:sz="0" w:space="0" w:color="auto"/>
              </w:divBdr>
              <w:divsChild>
                <w:div w:id="408697289">
                  <w:marLeft w:val="150"/>
                  <w:marRight w:val="0"/>
                  <w:marTop w:val="300"/>
                  <w:marBottom w:val="0"/>
                  <w:divBdr>
                    <w:top w:val="none" w:sz="0" w:space="0" w:color="auto"/>
                    <w:left w:val="none" w:sz="0" w:space="0" w:color="auto"/>
                    <w:bottom w:val="none" w:sz="0" w:space="0" w:color="auto"/>
                    <w:right w:val="none" w:sz="0" w:space="0" w:color="auto"/>
                  </w:divBdr>
                  <w:divsChild>
                    <w:div w:id="21441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3237">
      <w:bodyDiv w:val="1"/>
      <w:marLeft w:val="0"/>
      <w:marRight w:val="0"/>
      <w:marTop w:val="0"/>
      <w:marBottom w:val="0"/>
      <w:divBdr>
        <w:top w:val="none" w:sz="0" w:space="0" w:color="auto"/>
        <w:left w:val="none" w:sz="0" w:space="0" w:color="auto"/>
        <w:bottom w:val="none" w:sz="0" w:space="0" w:color="auto"/>
        <w:right w:val="none" w:sz="0" w:space="0" w:color="auto"/>
      </w:divBdr>
    </w:div>
    <w:div w:id="429204923">
      <w:bodyDiv w:val="1"/>
      <w:marLeft w:val="0"/>
      <w:marRight w:val="0"/>
      <w:marTop w:val="0"/>
      <w:marBottom w:val="0"/>
      <w:divBdr>
        <w:top w:val="none" w:sz="0" w:space="0" w:color="auto"/>
        <w:left w:val="none" w:sz="0" w:space="0" w:color="auto"/>
        <w:bottom w:val="none" w:sz="0" w:space="0" w:color="auto"/>
        <w:right w:val="none" w:sz="0" w:space="0" w:color="auto"/>
      </w:divBdr>
      <w:divsChild>
        <w:div w:id="2064017126">
          <w:marLeft w:val="0"/>
          <w:marRight w:val="0"/>
          <w:marTop w:val="0"/>
          <w:marBottom w:val="0"/>
          <w:divBdr>
            <w:top w:val="none" w:sz="0" w:space="0" w:color="auto"/>
            <w:left w:val="none" w:sz="0" w:space="0" w:color="auto"/>
            <w:bottom w:val="none" w:sz="0" w:space="0" w:color="auto"/>
            <w:right w:val="none" w:sz="0" w:space="0" w:color="auto"/>
          </w:divBdr>
          <w:divsChild>
            <w:div w:id="1469663480">
              <w:marLeft w:val="0"/>
              <w:marRight w:val="0"/>
              <w:marTop w:val="0"/>
              <w:marBottom w:val="0"/>
              <w:divBdr>
                <w:top w:val="none" w:sz="0" w:space="0" w:color="auto"/>
                <w:left w:val="none" w:sz="0" w:space="0" w:color="auto"/>
                <w:bottom w:val="none" w:sz="0" w:space="0" w:color="auto"/>
                <w:right w:val="none" w:sz="0" w:space="0" w:color="auto"/>
              </w:divBdr>
              <w:divsChild>
                <w:div w:id="1755933542">
                  <w:marLeft w:val="0"/>
                  <w:marRight w:val="0"/>
                  <w:marTop w:val="0"/>
                  <w:marBottom w:val="0"/>
                  <w:divBdr>
                    <w:top w:val="none" w:sz="0" w:space="0" w:color="auto"/>
                    <w:left w:val="none" w:sz="0" w:space="0" w:color="auto"/>
                    <w:bottom w:val="none" w:sz="0" w:space="0" w:color="auto"/>
                    <w:right w:val="none" w:sz="0" w:space="0" w:color="auto"/>
                  </w:divBdr>
                  <w:divsChild>
                    <w:div w:id="107504886">
                      <w:marLeft w:val="0"/>
                      <w:marRight w:val="0"/>
                      <w:marTop w:val="0"/>
                      <w:marBottom w:val="0"/>
                      <w:divBdr>
                        <w:top w:val="none" w:sz="0" w:space="0" w:color="auto"/>
                        <w:left w:val="none" w:sz="0" w:space="0" w:color="auto"/>
                        <w:bottom w:val="none" w:sz="0" w:space="0" w:color="auto"/>
                        <w:right w:val="none" w:sz="0" w:space="0" w:color="auto"/>
                      </w:divBdr>
                      <w:divsChild>
                        <w:div w:id="321665345">
                          <w:marLeft w:val="0"/>
                          <w:marRight w:val="0"/>
                          <w:marTop w:val="0"/>
                          <w:marBottom w:val="0"/>
                          <w:divBdr>
                            <w:top w:val="none" w:sz="0" w:space="0" w:color="auto"/>
                            <w:left w:val="none" w:sz="0" w:space="0" w:color="auto"/>
                            <w:bottom w:val="none" w:sz="0" w:space="0" w:color="auto"/>
                            <w:right w:val="none" w:sz="0" w:space="0" w:color="auto"/>
                          </w:divBdr>
                          <w:divsChild>
                            <w:div w:id="2124498546">
                              <w:marLeft w:val="0"/>
                              <w:marRight w:val="0"/>
                              <w:marTop w:val="0"/>
                              <w:marBottom w:val="0"/>
                              <w:divBdr>
                                <w:top w:val="none" w:sz="0" w:space="0" w:color="auto"/>
                                <w:left w:val="none" w:sz="0" w:space="0" w:color="auto"/>
                                <w:bottom w:val="none" w:sz="0" w:space="0" w:color="auto"/>
                                <w:right w:val="none" w:sz="0" w:space="0" w:color="auto"/>
                              </w:divBdr>
                              <w:divsChild>
                                <w:div w:id="578635697">
                                  <w:marLeft w:val="0"/>
                                  <w:marRight w:val="0"/>
                                  <w:marTop w:val="0"/>
                                  <w:marBottom w:val="0"/>
                                  <w:divBdr>
                                    <w:top w:val="none" w:sz="0" w:space="0" w:color="auto"/>
                                    <w:left w:val="none" w:sz="0" w:space="0" w:color="auto"/>
                                    <w:bottom w:val="none" w:sz="0" w:space="0" w:color="auto"/>
                                    <w:right w:val="none" w:sz="0" w:space="0" w:color="auto"/>
                                  </w:divBdr>
                                  <w:divsChild>
                                    <w:div w:id="15836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594214">
      <w:bodyDiv w:val="1"/>
      <w:marLeft w:val="0"/>
      <w:marRight w:val="0"/>
      <w:marTop w:val="0"/>
      <w:marBottom w:val="0"/>
      <w:divBdr>
        <w:top w:val="none" w:sz="0" w:space="0" w:color="auto"/>
        <w:left w:val="none" w:sz="0" w:space="0" w:color="auto"/>
        <w:bottom w:val="none" w:sz="0" w:space="0" w:color="auto"/>
        <w:right w:val="none" w:sz="0" w:space="0" w:color="auto"/>
      </w:divBdr>
    </w:div>
    <w:div w:id="1062600831">
      <w:bodyDiv w:val="1"/>
      <w:marLeft w:val="0"/>
      <w:marRight w:val="0"/>
      <w:marTop w:val="0"/>
      <w:marBottom w:val="0"/>
      <w:divBdr>
        <w:top w:val="none" w:sz="0" w:space="0" w:color="auto"/>
        <w:left w:val="none" w:sz="0" w:space="0" w:color="auto"/>
        <w:bottom w:val="none" w:sz="0" w:space="0" w:color="auto"/>
        <w:right w:val="none" w:sz="0" w:space="0" w:color="auto"/>
      </w:divBdr>
      <w:divsChild>
        <w:div w:id="1593393435">
          <w:marLeft w:val="0"/>
          <w:marRight w:val="0"/>
          <w:marTop w:val="0"/>
          <w:marBottom w:val="0"/>
          <w:divBdr>
            <w:top w:val="none" w:sz="0" w:space="0" w:color="auto"/>
            <w:left w:val="none" w:sz="0" w:space="0" w:color="auto"/>
            <w:bottom w:val="none" w:sz="0" w:space="0" w:color="auto"/>
            <w:right w:val="none" w:sz="0" w:space="0" w:color="auto"/>
          </w:divBdr>
          <w:divsChild>
            <w:div w:id="214044555">
              <w:marLeft w:val="0"/>
              <w:marRight w:val="0"/>
              <w:marTop w:val="0"/>
              <w:marBottom w:val="0"/>
              <w:divBdr>
                <w:top w:val="none" w:sz="0" w:space="0" w:color="auto"/>
                <w:left w:val="none" w:sz="0" w:space="0" w:color="auto"/>
                <w:bottom w:val="none" w:sz="0" w:space="0" w:color="auto"/>
                <w:right w:val="none" w:sz="0" w:space="0" w:color="auto"/>
              </w:divBdr>
              <w:divsChild>
                <w:div w:id="860362083">
                  <w:marLeft w:val="0"/>
                  <w:marRight w:val="0"/>
                  <w:marTop w:val="0"/>
                  <w:marBottom w:val="0"/>
                  <w:divBdr>
                    <w:top w:val="none" w:sz="0" w:space="0" w:color="auto"/>
                    <w:left w:val="none" w:sz="0" w:space="0" w:color="auto"/>
                    <w:bottom w:val="none" w:sz="0" w:space="0" w:color="auto"/>
                    <w:right w:val="none" w:sz="0" w:space="0" w:color="auto"/>
                  </w:divBdr>
                  <w:divsChild>
                    <w:div w:id="400835910">
                      <w:marLeft w:val="0"/>
                      <w:marRight w:val="0"/>
                      <w:marTop w:val="0"/>
                      <w:marBottom w:val="0"/>
                      <w:divBdr>
                        <w:top w:val="none" w:sz="0" w:space="0" w:color="auto"/>
                        <w:left w:val="none" w:sz="0" w:space="0" w:color="auto"/>
                        <w:bottom w:val="none" w:sz="0" w:space="0" w:color="auto"/>
                        <w:right w:val="none" w:sz="0" w:space="0" w:color="auto"/>
                      </w:divBdr>
                      <w:divsChild>
                        <w:div w:id="1365518833">
                          <w:marLeft w:val="0"/>
                          <w:marRight w:val="0"/>
                          <w:marTop w:val="0"/>
                          <w:marBottom w:val="0"/>
                          <w:divBdr>
                            <w:top w:val="none" w:sz="0" w:space="0" w:color="auto"/>
                            <w:left w:val="none" w:sz="0" w:space="0" w:color="auto"/>
                            <w:bottom w:val="none" w:sz="0" w:space="0" w:color="auto"/>
                            <w:right w:val="none" w:sz="0" w:space="0" w:color="auto"/>
                          </w:divBdr>
                          <w:divsChild>
                            <w:div w:id="740062041">
                              <w:marLeft w:val="0"/>
                              <w:marRight w:val="0"/>
                              <w:marTop w:val="0"/>
                              <w:marBottom w:val="0"/>
                              <w:divBdr>
                                <w:top w:val="none" w:sz="0" w:space="0" w:color="auto"/>
                                <w:left w:val="none" w:sz="0" w:space="0" w:color="auto"/>
                                <w:bottom w:val="none" w:sz="0" w:space="0" w:color="auto"/>
                                <w:right w:val="none" w:sz="0" w:space="0" w:color="auto"/>
                              </w:divBdr>
                              <w:divsChild>
                                <w:div w:id="1806779504">
                                  <w:marLeft w:val="0"/>
                                  <w:marRight w:val="0"/>
                                  <w:marTop w:val="0"/>
                                  <w:marBottom w:val="0"/>
                                  <w:divBdr>
                                    <w:top w:val="none" w:sz="0" w:space="0" w:color="auto"/>
                                    <w:left w:val="none" w:sz="0" w:space="0" w:color="auto"/>
                                    <w:bottom w:val="none" w:sz="0" w:space="0" w:color="auto"/>
                                    <w:right w:val="none" w:sz="0" w:space="0" w:color="auto"/>
                                  </w:divBdr>
                                  <w:divsChild>
                                    <w:div w:id="16386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326264">
      <w:bodyDiv w:val="1"/>
      <w:marLeft w:val="0"/>
      <w:marRight w:val="0"/>
      <w:marTop w:val="0"/>
      <w:marBottom w:val="0"/>
      <w:divBdr>
        <w:top w:val="none" w:sz="0" w:space="0" w:color="auto"/>
        <w:left w:val="none" w:sz="0" w:space="0" w:color="auto"/>
        <w:bottom w:val="none" w:sz="0" w:space="0" w:color="auto"/>
        <w:right w:val="none" w:sz="0" w:space="0" w:color="auto"/>
      </w:divBdr>
      <w:divsChild>
        <w:div w:id="55512631">
          <w:marLeft w:val="0"/>
          <w:marRight w:val="0"/>
          <w:marTop w:val="0"/>
          <w:marBottom w:val="0"/>
          <w:divBdr>
            <w:top w:val="none" w:sz="0" w:space="0" w:color="auto"/>
            <w:left w:val="single" w:sz="6" w:space="0" w:color="CCCCCC"/>
            <w:bottom w:val="single" w:sz="6" w:space="0" w:color="CCCCCC"/>
            <w:right w:val="single" w:sz="6" w:space="0" w:color="CCCCCC"/>
          </w:divBdr>
          <w:divsChild>
            <w:div w:id="1602952571">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388721388">
      <w:bodyDiv w:val="1"/>
      <w:marLeft w:val="0"/>
      <w:marRight w:val="0"/>
      <w:marTop w:val="0"/>
      <w:marBottom w:val="0"/>
      <w:divBdr>
        <w:top w:val="none" w:sz="0" w:space="0" w:color="auto"/>
        <w:left w:val="none" w:sz="0" w:space="0" w:color="auto"/>
        <w:bottom w:val="none" w:sz="0" w:space="0" w:color="auto"/>
        <w:right w:val="none" w:sz="0" w:space="0" w:color="auto"/>
      </w:divBdr>
      <w:divsChild>
        <w:div w:id="663363488">
          <w:marLeft w:val="0"/>
          <w:marRight w:val="0"/>
          <w:marTop w:val="0"/>
          <w:marBottom w:val="0"/>
          <w:divBdr>
            <w:top w:val="none" w:sz="0" w:space="0" w:color="auto"/>
            <w:left w:val="none" w:sz="0" w:space="0" w:color="auto"/>
            <w:bottom w:val="none" w:sz="0" w:space="0" w:color="auto"/>
            <w:right w:val="none" w:sz="0" w:space="0" w:color="auto"/>
          </w:divBdr>
          <w:divsChild>
            <w:div w:id="129983726">
              <w:marLeft w:val="0"/>
              <w:marRight w:val="0"/>
              <w:marTop w:val="0"/>
              <w:marBottom w:val="0"/>
              <w:divBdr>
                <w:top w:val="none" w:sz="0" w:space="0" w:color="auto"/>
                <w:left w:val="none" w:sz="0" w:space="0" w:color="auto"/>
                <w:bottom w:val="none" w:sz="0" w:space="0" w:color="auto"/>
                <w:right w:val="none" w:sz="0" w:space="0" w:color="auto"/>
              </w:divBdr>
              <w:divsChild>
                <w:div w:id="490875210">
                  <w:marLeft w:val="0"/>
                  <w:marRight w:val="0"/>
                  <w:marTop w:val="0"/>
                  <w:marBottom w:val="0"/>
                  <w:divBdr>
                    <w:top w:val="none" w:sz="0" w:space="0" w:color="auto"/>
                    <w:left w:val="none" w:sz="0" w:space="0" w:color="auto"/>
                    <w:bottom w:val="none" w:sz="0" w:space="0" w:color="auto"/>
                    <w:right w:val="none" w:sz="0" w:space="0" w:color="auto"/>
                  </w:divBdr>
                  <w:divsChild>
                    <w:div w:id="2037925213">
                      <w:marLeft w:val="0"/>
                      <w:marRight w:val="0"/>
                      <w:marTop w:val="0"/>
                      <w:marBottom w:val="0"/>
                      <w:divBdr>
                        <w:top w:val="none" w:sz="0" w:space="0" w:color="auto"/>
                        <w:left w:val="none" w:sz="0" w:space="0" w:color="auto"/>
                        <w:bottom w:val="none" w:sz="0" w:space="0" w:color="auto"/>
                        <w:right w:val="none" w:sz="0" w:space="0" w:color="auto"/>
                      </w:divBdr>
                      <w:divsChild>
                        <w:div w:id="1920284022">
                          <w:marLeft w:val="0"/>
                          <w:marRight w:val="0"/>
                          <w:marTop w:val="0"/>
                          <w:marBottom w:val="0"/>
                          <w:divBdr>
                            <w:top w:val="none" w:sz="0" w:space="0" w:color="auto"/>
                            <w:left w:val="none" w:sz="0" w:space="0" w:color="auto"/>
                            <w:bottom w:val="none" w:sz="0" w:space="0" w:color="auto"/>
                            <w:right w:val="none" w:sz="0" w:space="0" w:color="auto"/>
                          </w:divBdr>
                          <w:divsChild>
                            <w:div w:id="44570001">
                              <w:marLeft w:val="0"/>
                              <w:marRight w:val="0"/>
                              <w:marTop w:val="0"/>
                              <w:marBottom w:val="0"/>
                              <w:divBdr>
                                <w:top w:val="none" w:sz="0" w:space="0" w:color="auto"/>
                                <w:left w:val="none" w:sz="0" w:space="0" w:color="auto"/>
                                <w:bottom w:val="none" w:sz="0" w:space="0" w:color="auto"/>
                                <w:right w:val="none" w:sz="0" w:space="0" w:color="auto"/>
                              </w:divBdr>
                              <w:divsChild>
                                <w:div w:id="900094509">
                                  <w:marLeft w:val="0"/>
                                  <w:marRight w:val="0"/>
                                  <w:marTop w:val="0"/>
                                  <w:marBottom w:val="0"/>
                                  <w:divBdr>
                                    <w:top w:val="none" w:sz="0" w:space="0" w:color="auto"/>
                                    <w:left w:val="none" w:sz="0" w:space="0" w:color="auto"/>
                                    <w:bottom w:val="none" w:sz="0" w:space="0" w:color="auto"/>
                                    <w:right w:val="none" w:sz="0" w:space="0" w:color="auto"/>
                                  </w:divBdr>
                                  <w:divsChild>
                                    <w:div w:id="2216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7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ublicinvolvementnetwork.oxfordshire.gov.uk/consult.ti/system/listConsultations?type=O&amp;sort=ca_opendate&amp;dir=desc" TargetMode="External"/><Relationship Id="rId18" Type="http://schemas.openxmlformats.org/officeDocument/2006/relationships/hyperlink" Target="http://www.oscb.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watchoxfordshire.co.uk/index.php" TargetMode="External"/><Relationship Id="rId17" Type="http://schemas.openxmlformats.org/officeDocument/2006/relationships/hyperlink" Target="https://www.oxfordshire.gov.uk/cms/content/oxfordshire-stronger-communities-alliance" TargetMode="External"/><Relationship Id="rId2" Type="http://schemas.openxmlformats.org/officeDocument/2006/relationships/numbering" Target="numbering.xml"/><Relationship Id="rId16" Type="http://schemas.openxmlformats.org/officeDocument/2006/relationships/hyperlink" Target="http://www.oxfordshire.gov.uk/insight/communitysafet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xfordshire.gov.uk/cms/public-site/health-and-wellbeing-board" TargetMode="External"/><Relationship Id="rId5" Type="http://schemas.openxmlformats.org/officeDocument/2006/relationships/settings" Target="settings.xml"/><Relationship Id="rId15" Type="http://schemas.openxmlformats.org/officeDocument/2006/relationships/hyperlink" Target="http://insight.oxfordshire.gov.uk/cms/community-safety-0" TargetMode="External"/><Relationship Id="rId10" Type="http://schemas.openxmlformats.org/officeDocument/2006/relationships/hyperlink" Target="https://www.oxfordshire.gov.uk/cms/content/environment-and-waste-partnership" TargetMode="External"/><Relationship Id="rId19" Type="http://schemas.openxmlformats.org/officeDocument/2006/relationships/hyperlink" Target="http://www.safefromharm.org.uk" TargetMode="External"/><Relationship Id="rId4" Type="http://schemas.microsoft.com/office/2007/relationships/stylesWithEffects" Target="stylesWithEffects.xml"/><Relationship Id="rId9" Type="http://schemas.openxmlformats.org/officeDocument/2006/relationships/hyperlink" Target="http://www.oxfordshirelep.org.uk" TargetMode="External"/><Relationship Id="rId14" Type="http://schemas.openxmlformats.org/officeDocument/2006/relationships/hyperlink" Target="https://www.oxfordshire.gov.uk/cms/content/oxfordshire-safer-communities-partnersh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12609-96D7-4AC4-B733-98C06DFE2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F779D407</Template>
  <TotalTime>0</TotalTime>
  <Pages>23</Pages>
  <Words>7194</Words>
  <Characters>41008</Characters>
  <Application>Microsoft Office Word</Application>
  <DocSecurity>4</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48106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Lisa.Burgess</dc:creator>
  <cp:lastModifiedBy>Val.Johnson</cp:lastModifiedBy>
  <cp:revision>2</cp:revision>
  <cp:lastPrinted>2014-08-20T12:56:00Z</cp:lastPrinted>
  <dcterms:created xsi:type="dcterms:W3CDTF">2014-10-16T12:49:00Z</dcterms:created>
  <dcterms:modified xsi:type="dcterms:W3CDTF">2014-10-16T12:49:00Z</dcterms:modified>
</cp:coreProperties>
</file>